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val="1"/>
        <w:jc w:val="start"/>
      </w:pPr>
      <w:r>
        <w:rPr>
          <w:rtl w:val="1"/>
        </w:rPr>
        <w:t>مختارات من مكتبة الحديث</w:t>
      </w:r>
    </w:p>
    <w:p>
      <w:pPr>
        <w:bidi w:val="1"/>
        <w:jc w:val="start"/>
      </w:pPr>
      <w:r>
        <w:rPr>
          <w:rtl w:val="1"/>
        </w:rPr>
        <w:t>تقرير يضم 1 حديثًا من المحتوى المنشور. الشواهد المميزة مرتبطة بالدلالة المختارة أو بالتصنيفات المنشورة عند عدم اختيار دلالة. الأحكام من السجلات الأصلية.</w:t>
      </w:r>
    </w:p>
    <w:p>
      <w:pPr>
        <w:bidi w:val="1"/>
        <w:jc w:val="start"/>
      </w:pPr>
      <w:r>
        <w:rPr>
          <w:rtl w:val="1"/>
        </w:rPr>
        <w:fldChar w:fldCharType="begin"/>
        <w:instrText xml:space="preserve">TOC \o "1-9" \h \z \u</w:instrText>
        <w:fldChar w:fldCharType="end"/>
      </w:r>
    </w:p>
    <w:p>
      <w:pPr>
        <w:pStyle w:val="Heading1"/>
        <w:bidi w:val="1"/>
        <w:jc w:val="start"/>
      </w:pPr>
      <w:r>
        <w:rPr>
          <w:rtl w:val="1"/>
        </w:rPr>
        <w:t>الأحاديث المختارة</w:t>
      </w:r>
    </w:p>
    <w:p>
      <w:pPr>
        <w:bidi w:val="1"/>
        <w:jc w:val="start"/>
      </w:pPr>
      <w:r>
        <w:rPr>
          <w:b/>
          <w:rtl w:val="1"/>
        </w:rPr>
        <w:t>موطأ مالك — رقم الحديث: 2070 — الرقم الفرعي: 99 — الرقم الأصلي: 1379 — ج: 2 — ص: 246</w:t>
        <w:br/>
      </w:r>
      <w:r>
        <w:rPr>
          <w:rtl w:val="1"/>
        </w:rPr>
        <w:t xml:space="preserve"> قال: قال يحيى قال: قال مالك</w:t>
        <w:br/>
      </w:r>
      <w:r>
        <w:rPr>
          <w:color w:val="FF0000"/>
          <w:rtl w:val="1"/>
        </w:rPr>
        <w:t xml:space="preserve">إنَّ أَحسنَ ما سُمِعَ في عمَّال الرَّقيق في المُساقاة، يَشتَرطُهم المُساقي على صاحب الأرض: إنّه لا بأسَ بذلك، لأنهم عمّالُ المال، فهم بمنزلةِ المال، لا منفعةَ فيهم للدَّاخل، إلَّا أنه تَخِفُّ عنه بهم المَؤونة، وإن لم يكونوا في المال اشتَدَّتْ مَؤونتُه، وإنّما ذلك بمَنزلةِ المُساقاةِ في العين والنَّضْح، ولن تجد أحدًا يساقي في أَرضِين سواءً في الأصلِ والمَنفعة، إحداهما بعينٍ واثِنةٍ غزِيرة، والأخرى بنَضْحٍ على شيءٍ واحد، لخِفّةِ مُؤنة العَين، وشدّةِ مُؤنةِ النَّضِح، قال: وعلى ذلك الأمرُ عندنا. </w:t>
      </w:r>
      <w:r>
        <w:rPr>
          <w:color w:val="FF0000"/>
          <w:rtl w:val="1"/>
        </w:rPr>
        <w:t xml:space="preserve">قال: والواثِنَة: الثابتُ ماؤها، التي لا تَغورُ ولا تَنقطِع. </w:t>
      </w:r>
      <w:r>
        <w:rPr>
          <w:color w:val="FF0000"/>
          <w:rtl w:val="1"/>
        </w:rPr>
        <w:t xml:space="preserve">2071- قال مالك: وليس للمُساقي أن يعملَ بعُمّال المالِ في غيره، ولا أن يَشتَرط ذلك على الذي ساقاه. </w:t>
      </w:r>
      <w:r>
        <w:rPr>
          <w:color w:val="FF0000"/>
          <w:rtl w:val="1"/>
        </w:rPr>
        <w:t xml:space="preserve">2072- قال مالك: ولا يجوزُ للذي ساقَى أن يشتَرط على ربِّ المال رقيقًا يعملُ بهم في الحائط، ليسُوا فيه حين ساقاه إيّاه. قال مالك: ولا يَنبغي لربِّ المال أن يشتَرط على الذي دَخلَ في مالِه بمُساقاةٍ، أن يأخذَ من رَقيق المالِ أحدًا يُخرِجُه من المال، وإنّما مساقاةُ المالِ على حاله الذي هو عليه، قال: فإن كان صاحبُ المال يريدُ أن يُخرِج من رقيقِ المال أَحدًا، فليُخرِجْه، أو يريدُ أن يُدخِل فيه أَحدًا، فليَفعلْ ذلك قبلَ المُساقاة، ثم يُساقِي بعدَ ذلك إن شاء. </w:t>
      </w:r>
      <w:r>
        <w:rPr>
          <w:color w:val="FF0000"/>
          <w:rtl w:val="1"/>
        </w:rPr>
        <w:t xml:space="preserve">قال: ومَن ماتَ مِن الرَّقيق أو غابَ أو مَرِضَ، فعلى ربِّ المال أن يُخْلِفَه. </w:t>
      </w:r>
    </w:p>
    <w:p>
      <w:pPr>
        <w:bidi w:val="1"/>
        <w:jc w:val="start"/>
      </w:pPr>
      <w:r>
        <w:rPr>
          <w:rtl w:val="1"/>
        </w:rPr>
        <w:t>درجة الحديث: صحيح</w:t>
      </w:r>
    </w:p>
    <w:p>
      <w:pPr>
        <w:bidi w:val="1"/>
        <w:jc w:val="start"/>
      </w:pPr>
      <w:r>
        <w:rPr>
          <w:rtl w:val="1"/>
        </w:rPr>
        <w:t>الشرح: الدلالة: أحكام المساقاة - المساقاة</w:t>
      </w:r>
    </w:p>
    <w:p>
      <w:pPr>
        <w:bidi w:val="1"/>
        <w:jc w:val="start"/>
      </w:pPr>
      <w:r>
        <w:rPr>
          <w:rtl w:val="1"/>
        </w:rPr>
        <w:t>الشرح: الدلالة: شروط المساقاة - المساقاة</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4"/>
      <w:rFonts w:cs="Aria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