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18284 — الرقم الفرعي: 99 — الرقم الأصلي: 18284</w:t>
        <w:br/>
      </w:r>
      <w:r>
        <w:rPr>
          <w:rtl w:val="1"/>
        </w:rPr>
        <w:t xml:space="preserve"> حدثنا حجّاج ثنا شيبان ثنا منصور عن سالم بن أبي الجعد عن سلمة بن نعيم ملاحظة وكان من أصحاب الرسول صلى الله عليه وسلم قال:قال رسول الله صلى الله عليه وسلم</w:t>
        <w:br/>
      </w:r>
      <w:r>
        <w:rPr>
          <w:color w:val="FF0000"/>
          <w:rtl w:val="1"/>
        </w:rPr>
        <w:t xml:space="preserve">«مَن لَقِيَ اللهَ لا يُشْرِكُ بِه شَيئًا دَخَلَ الجَنَّةَ، وإِنْ زَنَى، وإِنْ سَرَقَ».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