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23349 — الرقم الفرعي: 99 — الرقم الأصلي: 23349 — ج: 5 — ص: 395</w:t>
        <w:br/>
      </w:r>
      <w:r>
        <w:rPr>
          <w:rtl w:val="1"/>
        </w:rPr>
        <w:t xml:space="preserve"> حدثنا ابن نمير ثنا الأعمش عن عبد الرحمن بن ثروان عن عمرو بن حنظلة قال:قال حذيفة</w:t>
        <w:br/>
      </w:r>
      <w:r>
        <w:rPr>
          <w:color w:val="FF0000"/>
          <w:rtl w:val="1"/>
        </w:rPr>
        <w:t xml:space="preserve">«واللهِ لا تَدعُ مُضَرُ عبدًا للهِ مُؤمنًا إلّا فتَنوهُ أَو قتَلُوه،  </w:t>
      </w:r>
      <w:r>
        <w:rPr>
          <w:color w:val="000000"/>
          <w:rtl w:val="1"/>
        </w:rPr>
        <w:t xml:space="preserve">أو يَضرِبَهم اللهُ والمَلائكةُ والمُؤمِنونَ، حتى لا يَمنَعوا ذَنَبَ تَلْعَة»  </w:t>
      </w:r>
      <w:r>
        <w:rPr>
          <w:color w:val="000000"/>
          <w:rtl w:val="1"/>
        </w:rPr>
        <w:t xml:space="preserve">فقالَ له رجُل: أَتقولُ هذا يا عبدَ الله وأَنتَ رجُلٌ من مُضَر؟! قال: لا أَقولُ إلّا ما قالَ رسولُ الله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المطلب الثالث: عدم وجود الإمام، وعدم تطبيق الشرع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المبحث السادس: فتنة الناس عن دينهم وعقيدتهم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