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الاستنثار-كتاب الطهارة-سنن أبي داود — رقم الحديث: 142 — الرقم الفرعي: 99 — الرقم الأصلي: 142</w:t>
        <w:br/>
      </w:r>
      <w:r>
        <w:rPr>
          <w:rtl w:val="1"/>
        </w:rPr>
        <w:t xml:space="preserve"> حدثنا قتيبة بن سعيد ملاحظة في آخرين قالوا:ثنا يحيى بن سليم عن إسماعيل بن كثير عن عاصم بن لَقِيط بن صبرة عن أبيه لقيط بن صبرة</w:t>
        <w:br/>
      </w:r>
      <w:r>
        <w:rPr>
          <w:color w:val="000000"/>
          <w:rtl w:val="1"/>
        </w:rPr>
        <w:t xml:space="preserve">قال: كنتُ وافِدَ بني المنْتَفِقِ - أو في وَفدِ بني المُنتَفِقِ - إلى رسولِ الله ﷺ،  </w:t>
      </w:r>
      <w:r>
        <w:rPr>
          <w:color w:val="FF0000"/>
          <w:rtl w:val="1"/>
        </w:rPr>
        <w:t xml:space="preserve">قال: فلمَّا قَدِمْنا على رسولِ الله ﷺ فلم نُصادِفْهُ في مَنزِله، وصادَفْنا عائشةَ أُمَّ المؤمنين،  </w:t>
      </w:r>
      <w:r>
        <w:rPr>
          <w:color w:val="FF0000"/>
          <w:rtl w:val="1"/>
        </w:rPr>
        <w:t xml:space="preserve">قال: فأمَرَتْ لنا بخَزِيرةٍ، فصُنِعَت لنا،  </w:t>
      </w:r>
      <w:r>
        <w:rPr>
          <w:color w:val="FF0000"/>
          <w:rtl w:val="1"/>
        </w:rPr>
        <w:t xml:space="preserve">قال: وأُتينا بقِناعٍ - ولم يُقِم قُتَيبةُ القِناع، والقِناعُ: الطَّبَقُ فيه تمرٌ -  </w:t>
      </w:r>
      <w:r>
        <w:rPr>
          <w:color w:val="FF0000"/>
          <w:rtl w:val="1"/>
        </w:rPr>
        <w:t xml:space="preserve">ثمَّ جاء رسولُ الله ﷺ فقال: «هل أَصَبتُم شيئًا؟»، أو «أُمِرَ لكم بشيءٍ؟»  </w:t>
      </w:r>
      <w:r>
        <w:rPr>
          <w:color w:val="FF0000"/>
          <w:rtl w:val="1"/>
        </w:rPr>
        <w:t xml:space="preserve">قال: قلنا: نعم يا رسولَ الله،  </w:t>
      </w:r>
      <w:r>
        <w:rPr>
          <w:color w:val="FF0000"/>
          <w:rtl w:val="1"/>
        </w:rPr>
        <w:t xml:space="preserve">قال: فبَينا نحنُ مع رسولِ الله ﷺ جُلوسٌ إذ دفَعَ الرَّاعي غَنَمَه إلى المُرَاحِ، ومَعَه سَخْلةٌ تَيعَرُ،  </w:t>
      </w:r>
      <w:r>
        <w:rPr>
          <w:color w:val="FF0000"/>
          <w:rtl w:val="1"/>
        </w:rPr>
        <w:t xml:space="preserve">فقال: «ما وَلَّدتَ يا فُلان؟» قال: بَهْمةً، قال: «فاذبَحْ لنا مكانَها شاةً»  </w:t>
      </w:r>
      <w:r>
        <w:rPr>
          <w:color w:val="FF0000"/>
          <w:rtl w:val="1"/>
        </w:rPr>
        <w:t xml:space="preserve">ثمَّ قال: «لا تَحسِبَنَّ - ولم يقُل: لا تَحسَبَنَّ - أنَّا من أَجلِكَ ذَبَحْناها،  </w:t>
      </w:r>
      <w:r>
        <w:rPr>
          <w:color w:val="FF0000"/>
          <w:rtl w:val="1"/>
        </w:rPr>
        <w:t xml:space="preserve">لنا غَنَمٌ مِئةٌ لا نُريدُ أن تزيدَ، فإذا وَلَّدَ الرَّاعي بَهْمةً ذبَحْنا مكانَها شاةً». </w:t>
      </w:r>
      <w:r>
        <w:rPr>
          <w:color w:val="FF0000"/>
          <w:rtl w:val="1"/>
        </w:rPr>
        <w:t xml:space="preserve">قال: قلتُ: يا رسولَ الله، إنَّ لي امرأةً، وإنَّ في لسانِها شيئاً - يعني البَذَاءَ - قال: «فطَلِّقْها إذًا»  </w:t>
      </w:r>
      <w:r>
        <w:rPr>
          <w:color w:val="FF0000"/>
          <w:rtl w:val="1"/>
        </w:rPr>
        <w:t xml:space="preserve">قال: قلتُ: يا رسولَ الله، إنَّ لها صُحبةً ولي منها ولدٌ، قال: «فمُرْها - يقول: عِظْها -  </w:t>
      </w:r>
      <w:r>
        <w:rPr>
          <w:color w:val="FF0000"/>
          <w:rtl w:val="1"/>
        </w:rPr>
        <w:t xml:space="preserve">فإن يَكُ فيها خيرٌ فستَفعَلُ،  </w:t>
      </w:r>
      <w:r>
        <w:rPr>
          <w:color w:val="FF0000"/>
          <w:rtl w:val="1"/>
        </w:rPr>
        <w:t xml:space="preserve">ولا تَضرِبْ ظَعينَتَكَ كضَربِكَ أُمَيَّتَك»  </w:t>
      </w:r>
      <w:r>
        <w:rPr>
          <w:color w:val="FF0000"/>
          <w:rtl w:val="1"/>
        </w:rPr>
        <w:t xml:space="preserve">فقلتُ: يا رسولَ الله، أخبِرْني عن الوُضوء،  </w:t>
      </w:r>
      <w:r>
        <w:rPr>
          <w:color w:val="FF0000"/>
          <w:rtl w:val="1"/>
        </w:rPr>
        <w:t xml:space="preserve">قال: «أَسبغِ الوضوءَ،  </w:t>
      </w:r>
      <w:r>
        <w:rPr>
          <w:color w:val="FF0000"/>
          <w:rtl w:val="1"/>
        </w:rPr>
        <w:t xml:space="preserve">وخَلِّلْ بينَ الأصابعِ،  </w:t>
      </w:r>
      <w:r>
        <w:rPr>
          <w:color w:val="FF0000"/>
          <w:rtl w:val="1"/>
        </w:rPr>
        <w:t xml:space="preserve">وبالِغْ في الاستِنشاقِ إلّا أن تكونَ صائمًا».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المضمضة والاستنشاق - ما لا يبطل الصيام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إكرام الضيف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إطعام الضيف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إسباغ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المضمضة والاستنشاق والاستنثار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الرجلين وتخليل الأصابع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قيمة مداراة النساء - قيم المُداراة</w:t>
      </w:r>
    </w:p>
    <w:p>
      <w:pPr>
        <w:bidi w:val="1"/>
        <w:jc w:val="start"/>
      </w:pPr>
      <w:r>
        <w:rPr>
          <w:rtl w:val="1"/>
        </w:rPr>
        <w:t>الشرح: الدلالة: قيمة إتقان البرنامج الحياتي - قيم إتقان العمل</w:t>
      </w:r>
    </w:p>
    <w:p>
      <w:pPr>
        <w:bidi w:val="1"/>
        <w:jc w:val="start"/>
      </w:pPr>
      <w:r>
        <w:rPr>
          <w:rtl w:val="1"/>
        </w:rPr>
        <w:t>الشرح: الدلالة: جوده ﷺ وإكرامه للضيف - جود النبي ﷺ وكرمه</w:t>
      </w:r>
    </w:p>
    <w:p>
      <w:pPr>
        <w:bidi w:val="1"/>
        <w:jc w:val="start"/>
      </w:pPr>
      <w:r>
        <w:rPr>
          <w:rtl w:val="1"/>
        </w:rPr>
        <w:t>الشرح: الدلالة: وعظه ﷺ للوفود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