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العمرة في رمضان-كتاب المناسك-سنن ابن ماجة — رقم الحديث: 2995 — الرقم الفرعي: 99 — الرقم الأصلي: 2995</w:t>
        <w:br/>
      </w:r>
      <w:r>
        <w:rPr>
          <w:rtl w:val="1"/>
        </w:rPr>
        <w:t xml:space="preserve"> حدثنا أبو بكر بن أبي شيبة ثنا أحمد بن عبد الملك بن واقد ثنا عبيد الله بن عمرو عن عبد الكريم عن عطاء عن جابر أنّ النبيّ صلى الله عليه وسلم</w:t>
        <w:br/>
      </w:r>
      <w:r>
        <w:rPr>
          <w:color w:val="FF0000"/>
          <w:rtl w:val="1"/>
        </w:rPr>
        <w:t xml:space="preserve">قال: «عُمْرَةٌ في رَمَضانَ تَعدِلُ حَجَّةً». </w:t>
      </w:r>
    </w:p>
    <w:p>
      <w:pPr>
        <w:bidi w:val="1"/>
        <w:jc w:val="start"/>
      </w:pPr>
      <w:r>
        <w:rPr>
          <w:rtl w:val="1"/>
        </w:rPr>
        <w:t>درجة الحديث: صحيح / صحيح</w:t>
      </w:r>
    </w:p>
    <w:p>
      <w:pPr>
        <w:bidi w:val="1"/>
        <w:jc w:val="start"/>
      </w:pPr>
      <w:r>
        <w:rPr>
          <w:rtl w:val="1"/>
        </w:rPr>
        <w:t>الشرح: الدلالة: مراتب الطاعات - الطاعات</w:t>
      </w:r>
    </w:p>
    <w:p>
      <w:pPr>
        <w:bidi w:val="1"/>
        <w:jc w:val="start"/>
      </w:pPr>
      <w:r>
        <w:rPr>
          <w:rtl w:val="1"/>
        </w:rPr>
        <w:t>الشرح: الدلالة: مشروعية العمرة وفضلها وحكمها. - العمرة</w:t>
      </w:r>
    </w:p>
    <w:p>
      <w:pPr>
        <w:bidi w:val="1"/>
        <w:jc w:val="start"/>
      </w:pPr>
      <w:r>
        <w:rPr>
          <w:rtl w:val="1"/>
        </w:rPr>
        <w:t>الشرح: الدلالة: العمرة في رمضان - العمرة في غير أشهر الحج</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