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حفظ اللسان ومَن كان يؤمن بالله واليوم الآخر-كتاب الرقاق-صحيح البخاري — رقم الحديث: 6478 — الرقم الفرعي: 99 — الرقم الأصلي: 6478</w:t>
        <w:br/>
      </w:r>
      <w:r>
        <w:rPr>
          <w:rtl w:val="1"/>
        </w:rPr>
        <w:t xml:space="preserve"> حدثني عبد الله بن منير سمع أبا النّضر حدثنا عبد الرحمن بن عبد الله ملاحظة يعني ابن دينار عن أبيه عن أبي صالح عن أبي هريرة عن النبيّ صلى الله عليه وسلم</w:t>
        <w:br/>
      </w:r>
      <w:r>
        <w:rPr>
          <w:color w:val="000000"/>
          <w:rtl w:val="1"/>
        </w:rPr>
        <w:t xml:space="preserve">قال:  </w:t>
      </w:r>
      <w:r>
        <w:rPr>
          <w:color w:val="000000"/>
          <w:rtl w:val="1"/>
        </w:rPr>
        <w:t xml:space="preserve">«إنَّ العبدَ لَيَتَكلَّمُ بالكَلِمةِ مِن رِضوانِ الله، لا يُلْقي لها بالًا، يَرفَعُ اللهُ بها دَرَجاتٍ،  </w:t>
      </w:r>
      <w:r>
        <w:rPr>
          <w:color w:val="FF0000"/>
          <w:rtl w:val="1"/>
        </w:rPr>
        <w:t xml:space="preserve">وإنَّ العبدَ لَيَتَكلَّمُ بالكَلِمةِ من سَخَطِ الله، لا يُلْقي لها بالًا، يَهوي بها في جَهَنَّمَ». </w:t>
      </w:r>
    </w:p>
    <w:p>
      <w:pPr>
        <w:bidi w:val="1"/>
        <w:jc w:val="start"/>
      </w:pPr>
      <w:r>
        <w:rPr>
          <w:rtl w:val="1"/>
        </w:rPr>
        <w:t>درجة الحديث: صحيح</w:t>
      </w:r>
    </w:p>
    <w:p>
      <w:pPr>
        <w:bidi w:val="1"/>
        <w:jc w:val="start"/>
      </w:pPr>
      <w:r>
        <w:rPr>
          <w:rtl w:val="1"/>
        </w:rPr>
        <w:t>الشرح: الدلالة: * الكلام في سخط الله - عاشرًا: الأعمال التي تدخل صاحبها النار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