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20817 — الرقم الفرعي: 99 — الرقم الأصلي: 20817 — ج: 5 — ص: 87</w:t>
        <w:br/>
      </w:r>
      <w:r>
        <w:rPr>
          <w:rtl w:val="1"/>
        </w:rPr>
        <w:t xml:space="preserve"> حدثنا ابن نمير ثنا مُجالِد عن عامر عن جابر بن سمرة السوائيّ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سمِعتُ رسول الله، يقولُ في حَجَّةِ الوَداع: «إنَّ هذا الدِّينَ لن يَزالَ ظاهرًا على مَن ناوأَه، لا يَضرُّه مُخالِفٌ ولا مُفارِق، حتى يَمضِي مِن أُمّتي اثنا عشَرَ خَليفَة»  </w:t>
      </w:r>
      <w:r>
        <w:rPr>
          <w:color w:val="FF0000"/>
          <w:rtl w:val="1"/>
        </w:rPr>
        <w:t xml:space="preserve">قال: ثم تكلَّم بشيءٍ لم أَفهمهُ، فقلت لأَبي: ما قال؟ قال: «كلُّهم مِن قُريش».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الفصل الثالث: قيام الخلافة الراشدة ونزولها ببيت المقدس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