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118 — الرقم الفرعي: 99 — الرقم الأصلي: 118</w:t>
        <w:br/>
      </w:r>
      <w:r>
        <w:rPr>
          <w:rtl w:val="1"/>
        </w:rPr>
        <w:t xml:space="preserve"> حدثنا أبو المغيرة حدثنا الأوزاعيّ حدثنا عمر بن شعيب عن عبد الله بن عمرو بن العاص عن عمر بن الخطاب أنّ رسول الله صلى الله عليه وسلم</w:t>
        <w:br/>
      </w:r>
      <w:r>
        <w:rPr>
          <w:color w:val="000000"/>
          <w:rtl w:val="1"/>
        </w:rPr>
        <w:t xml:space="preserve">قَالَ: «لَا صَلاةَ بَعْدَ صَلاةِ الصُّبْحِ إِلَى طُلُوعِ الشَّمْسِ، وَلا بَعْدَ الْعَصْرِ حَتَّى تَغِيبَ الشَّمْسُ»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