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 — الرقم الفرعي: 99 — الرقم الأصلي: 110</w:t>
        <w:br/>
      </w:r>
      <w:r>
        <w:rPr>
          <w:rtl w:val="1"/>
        </w:rPr>
        <w:t xml:space="preserve"> حدثنا بَهز حدثنا أبَانُ عن قتادة عن أبي العالية عن ابن عباس</w:t>
        <w:br/>
      </w:r>
      <w:r>
        <w:rPr>
          <w:color w:val="000000"/>
          <w:rtl w:val="1"/>
        </w:rPr>
        <w:t xml:space="preserve">قَالَ: شَهِدَ عِنْدِي رِجَالٌ مَرْضِيُّونَ فيهُمْ عُمَرُ، وَأَرْضَاهُمْ عِنْدِي عُمَرُ: أَنَّ نَبِيَّ اللهِ ﷺ كَانَ يَقُولُ: «لَا صَلاةَ بَعْدَ صَلاةِ الْعَصْرِ حَتَّى تَغْرُبَ الشَّمْسُ، وَلا صَلاةَ بَعْدَ صَلاةِ الصُّبْحِ حَتَّى تَطْلُعَ الشَّمْسُ»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