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وضوء الصبيان ومتى يجب عليهم الغسل-كتاب الصلاة-صحيح البخاري — رقم الحديث: 858 — الرقم الفرعي: 99 — الرقم الأصلي: 858</w:t>
        <w:br/>
      </w:r>
      <w:r>
        <w:rPr>
          <w:rtl w:val="1"/>
        </w:rPr>
        <w:t xml:space="preserve"> حدثنا علي بن عبد الله قال:حدثنا سفيان قال:حدثني صفوان بن سُليم عن عطاء بن يسار عن أبي سعيد الخدريّ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«الغُسْلُ يومَ الجُمُعةِ واجبٌ على كُلِّ مُحتَلِم». 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