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في ستر الميت عند غسله-أول كتاب الجنائز-سنن أبي داود — رقم الحديث: 3141 — الرقم الفرعي: 99 — الرقم الأصلي: 3141</w:t>
        <w:br/>
      </w:r>
      <w:r>
        <w:rPr>
          <w:rtl w:val="1"/>
        </w:rPr>
        <w:t xml:space="preserve"> حدثنا النفيليّ ثنا محمد بن سلمة عن محمد بن إسحاق حدثني يحيى بن عباد عن أبيه عباد بن عبد الله بن الزبير قال:سمعت عائشة</w:t>
        <w:br/>
      </w:r>
      <w:r>
        <w:rPr>
          <w:color w:val="000000"/>
          <w:rtl w:val="1"/>
        </w:rPr>
        <w:t xml:space="preserve">تقول:  </w:t>
      </w:r>
      <w:r>
        <w:rPr>
          <w:color w:val="FF0000"/>
          <w:rtl w:val="1"/>
        </w:rPr>
        <w:t xml:space="preserve">لما أرادُوا غَسلَ النّبيِّ ﷺ قالوا: واللهِ ما نَدري أنُجَرِّدُ رسولَ الله ﷺ من ثِيابِه كما نُجرِّد مَوتانا أم نُغَسِّلُه وعليه ثيابُه؟  </w:t>
      </w:r>
      <w:r>
        <w:rPr>
          <w:color w:val="FF0000"/>
          <w:rtl w:val="1"/>
        </w:rPr>
        <w:t xml:space="preserve">فلمَّا اختَلفُوا ألقَى اللهُ عزّ وجلّ عليهم النَّومَ حتى ما مِنهُم رجلٌ إلا وذَقْنُه في صَدرهِ،  </w:t>
      </w:r>
      <w:r>
        <w:rPr>
          <w:color w:val="FF0000"/>
          <w:rtl w:val="1"/>
        </w:rPr>
        <w:t xml:space="preserve">ثم كلَّمَهم مُكلِّمٌ من ناحيةِ البيتِ لا يَدرُونَ مَن هو: أنِ اغسِلوا النّبيَّ ﷺ وعليه ثِيابُه،  </w:t>
      </w:r>
      <w:r>
        <w:rPr>
          <w:color w:val="FF0000"/>
          <w:rtl w:val="1"/>
        </w:rPr>
        <w:t xml:space="preserve">فقامُوا إلى رسولِ الله ﷺ فغَسَّلوه وعليه قَميصُه يَصُبُّون الماءَ فوق القَميصِ، ويدلكُونه بالقَميص دونَ أيديهِم،  </w:t>
      </w:r>
      <w:r>
        <w:rPr>
          <w:color w:val="FF0000"/>
          <w:rtl w:val="1"/>
        </w:rPr>
        <w:t xml:space="preserve">وكانت عائشةُ تقول: لو استَقبلتُ مِن أمري ما استَدبرتُ ما غسَّلَه إلا نِساؤُه. </w:t>
      </w:r>
    </w:p>
    <w:p>
      <w:pPr>
        <w:bidi w:val="1"/>
        <w:jc w:val="start"/>
      </w:pPr>
      <w:r>
        <w:rPr>
          <w:rtl w:val="1"/>
        </w:rPr>
        <w:t>درجة الحديث: إسناده حسن / إسناده حسن</w:t>
      </w:r>
    </w:p>
    <w:p>
      <w:pPr>
        <w:bidi w:val="1"/>
        <w:jc w:val="start"/>
      </w:pPr>
      <w:r>
        <w:rPr>
          <w:rtl w:val="1"/>
        </w:rPr>
        <w:t>الشرح: الدلالة: جَهاز النبي صلى الله عليه وسلم وغسله - مرض النبي صلى الله عليه وسلم ووفاته</w:t>
      </w:r>
    </w:p>
    <w:p>
      <w:pPr>
        <w:bidi w:val="1"/>
        <w:jc w:val="start"/>
      </w:pPr>
      <w:r>
        <w:rPr>
          <w:rtl w:val="1"/>
        </w:rPr>
        <w:t>الشرح: الدلالة: تجهيز الميت - التركات والوصايا والمواريث</w:t>
      </w:r>
    </w:p>
    <w:p>
      <w:pPr>
        <w:bidi w:val="1"/>
        <w:jc w:val="start"/>
      </w:pPr>
      <w:r>
        <w:rPr>
          <w:rtl w:val="1"/>
        </w:rPr>
        <w:t>الشرح: الدلالة: التصور الإسلامي للالوهية - التصور الإسلامي</w:t>
      </w:r>
    </w:p>
    <w:p>
      <w:pPr>
        <w:bidi w:val="1"/>
        <w:jc w:val="start"/>
      </w:pPr>
      <w:r>
        <w:rPr>
          <w:rtl w:val="1"/>
        </w:rPr>
        <w:t>الشرح: الدلالة: التميز - المباديء</w:t>
      </w:r>
    </w:p>
    <w:p>
      <w:pPr>
        <w:bidi w:val="1"/>
        <w:jc w:val="start"/>
      </w:pPr>
      <w:r>
        <w:rPr>
          <w:rtl w:val="1"/>
        </w:rPr>
        <w:t>الشرح: الدلالة: قيمة تعظيم مقام النبوة - مظاهر قيمة إنزال الناس منازلهم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