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العُطاس-كتاب الأدب-سنن أبي داود — رقم الحديث: 5029 — الرقم الفرعي: 99 — الرقم الأصلي: 5029</w:t>
        <w:br/>
      </w:r>
      <w:r>
        <w:rPr>
          <w:rtl w:val="1"/>
        </w:rPr>
        <w:t xml:space="preserve"> حدثنا مُسدّد ثنا يحيى عن ابن عجلان عن سُميّ عن أبي صالح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عَطَس وَضَع يده - أو ثَوبَه - على فيه،  </w:t>
      </w:r>
      <w:r>
        <w:rPr>
          <w:color w:val="FF0000"/>
          <w:rtl w:val="1"/>
        </w:rPr>
        <w:t xml:space="preserve">وخَفَض - أو غضَّ - بها صَوتَه.  </w:t>
      </w:r>
      <w:r>
        <w:rPr>
          <w:color w:val="000000"/>
          <w:rtl w:val="1"/>
        </w:rPr>
        <w:t xml:space="preserve">شَكَّ يحيى.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خفض الصوت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العطاس والتثاؤب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في أدبه ﷺ إذا عرض له شيء من العطاس - عادات أخرى للنبي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