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تسليم الراكب على الماشي-كتاب الاستئذان والآداب-سنن الترمذي — رقم الحديث: 2705 — الرقم الفرعي: 99 — الرقم الأصلي: 2706</w:t>
        <w:br/>
      </w:r>
      <w:r>
        <w:rPr>
          <w:rtl w:val="1"/>
        </w:rPr>
        <w:t xml:space="preserve"> حدثنا سويد بن نصر أنبأنا عبد الله أنبأنا حَيْوة بن شُريح أخبرني أبو هانىء ملاحظة اسمه حميد بن هانىء الخولانيّ عن أبي عليّ الجنبيّ عن فضالة بن عبيد أنّ رسول الله صلى الله عليه وسلم</w:t>
        <w:br/>
      </w:r>
      <w:r>
        <w:rPr>
          <w:color w:val="000000"/>
          <w:rtl w:val="1"/>
        </w:rPr>
        <w:t xml:space="preserve">قال:  </w:t>
      </w:r>
      <w:r>
        <w:rPr>
          <w:color w:val="FF0000"/>
          <w:rtl w:val="1"/>
        </w:rPr>
        <w:t xml:space="preserve">«يسلِّمُ الفارِسُ على الماشي،  </w:t>
      </w:r>
      <w:r>
        <w:rPr>
          <w:color w:val="FF0000"/>
          <w:rtl w:val="1"/>
        </w:rPr>
        <w:t xml:space="preserve">والماشي على القائِم،  </w:t>
      </w:r>
      <w:r>
        <w:rPr>
          <w:color w:val="FF0000"/>
          <w:rtl w:val="1"/>
        </w:rPr>
        <w:t xml:space="preserve">والقَليلُ على الكَثِير». </w:t>
      </w:r>
      <w:r>
        <w:rPr>
          <w:color w:val="000000"/>
          <w:rtl w:val="1"/>
        </w:rPr>
        <w:t xml:space="preserve">هذا حديثٌ حسنٌ صحيح. </w:t>
      </w:r>
      <w:r>
        <w:rPr>
          <w:color w:val="000000"/>
          <w:rtl w:val="1"/>
        </w:rPr>
        <w:t xml:space="preserve">وأبو عليّ الجنبيّ اسمه عمرو بن مالك.  </w:t>
      </w:r>
    </w:p>
    <w:p>
      <w:pPr>
        <w:bidi w:val="1"/>
        <w:jc w:val="start"/>
      </w:pPr>
      <w:r>
        <w:rPr>
          <w:rtl w:val="1"/>
        </w:rPr>
        <w:t>درجة الحديث: صحيح / صحيح</w:t>
      </w:r>
    </w:p>
    <w:p>
      <w:pPr>
        <w:bidi w:val="1"/>
        <w:jc w:val="start"/>
      </w:pPr>
      <w:r>
        <w:rPr>
          <w:rtl w:val="1"/>
        </w:rPr>
        <w:t>الشرح: الدلالة: إفشاء السلام - القيم والأخلاق المحمودة</w:t>
      </w:r>
    </w:p>
    <w:p>
      <w:pPr>
        <w:bidi w:val="1"/>
        <w:jc w:val="start"/>
      </w:pPr>
      <w:r>
        <w:rPr>
          <w:rtl w:val="1"/>
        </w:rPr>
        <w:t>الشرح: الدلالة: آداب الجلوس والمجالس والسلام - الآداب الاجتماعية</w:t>
      </w:r>
    </w:p>
    <w:p>
      <w:pPr>
        <w:bidi w:val="1"/>
        <w:jc w:val="start"/>
      </w:pPr>
      <w:r>
        <w:rPr>
          <w:rtl w:val="1"/>
        </w:rPr>
        <w:t>الشرح: الدلالة: حسن صحيح - الصحيح</w:t>
      </w:r>
    </w:p>
    <w:p>
      <w:pPr>
        <w:bidi w:val="1"/>
        <w:jc w:val="start"/>
      </w:pPr>
      <w:r>
        <w:rPr>
          <w:rtl w:val="1"/>
        </w:rPr>
        <w:t>الشرح: الدلالة: آداب الطريق - آداب المرافق العامة</w:t>
      </w:r>
    </w:p>
    <w:p>
      <w:pPr>
        <w:bidi w:val="1"/>
        <w:jc w:val="start"/>
      </w:pPr>
      <w:r>
        <w:rPr>
          <w:rtl w:val="1"/>
        </w:rPr>
        <w:t>الشرح: الدلالة: قيمة مَن يبدأُ السلام؟ - قيم آداب السلام</w:t>
      </w:r>
    </w:p>
    <w:p>
      <w:pPr>
        <w:bidi w:val="1"/>
        <w:jc w:val="start"/>
      </w:pPr>
      <w:r>
        <w:rPr>
          <w:rtl w:val="1"/>
        </w:rPr>
        <w:t>الشرح: الدلالة: كنى المحدثين - أسماء الرواة وكناهم وألقابهم وأنسابهم</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