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6508 — الرقم الفرعي: 99 — الرقم الأصلي: 6508 — ج: 2 — ص: 162</w:t>
        <w:br/>
      </w:r>
      <w:r>
        <w:rPr>
          <w:rtl w:val="1"/>
        </w:rPr>
        <w:t xml:space="preserve"> حدثنا إسماعيل عن يونس عن الحسَن أنّ عبد الله بن عمرو قال:قال لي رسول الله،صلى الله عليه وسلم</w:t>
        <w:br/>
      </w:r>
      <w:r>
        <w:rPr>
          <w:color w:val="000000"/>
          <w:rtl w:val="1"/>
        </w:rPr>
        <w:t xml:space="preserve">«كيف أنتَ إذا بقِيتَ في حُثالةٍ من الناس؟» قال: قلتُ: يا رسولَ الله، كيف ذلك؟ قال: «إذا مَرِجَت عهودُهم وأَماناتُهم، وكانوا هكذا» - وشبَّكَ يونسُ بينَ أَصابعِه، يَصِفُ ذاك -  </w:t>
      </w:r>
      <w:r>
        <w:rPr>
          <w:color w:val="FF0000"/>
          <w:rtl w:val="1"/>
        </w:rPr>
        <w:t xml:space="preserve">قال: قلتُ: ما أَصنَع عندَ ذاكَ يا رسولَ الله؟ قال: «اتّقِ اللهَ، عزّ وجلّ، وخُذ ما تَعرِفُ، ودَع ما تُنكِر، وعليكَ بخاصّيتِكَ، وإيّاكَ وعوامَّهم».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حكم الأمر بالمعروف والنهي عن المنكر  بعد طلوع الشمس من المغرب</w:t>
      </w:r>
    </w:p>
    <w:p>
      <w:pPr>
        <w:bidi w:val="1"/>
        <w:jc w:val="start"/>
      </w:pPr>
      <w:r>
        <w:rPr>
          <w:rtl w:val="1"/>
        </w:rPr>
        <w:t>الشرح: الدلالة: الفصل الثاني: الاستعانة بالصبر والعمل الصالح وقت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الثالث: محافظة المسلم على أهله عند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