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الأمر والنهي-كتاب الملاحم-سنن أبي داود — رقم الحديث: 4342 — الرقم الفرعي: 99 — الرقم الأصلي: 4342</w:t>
        <w:br/>
      </w:r>
      <w:r>
        <w:rPr>
          <w:rtl w:val="1"/>
        </w:rPr>
        <w:t xml:space="preserve"> حدثنا القعنبيّ أنّ عبد العزيز بن أبي حازم حدثهم عن أبيه عن عمارة بن عمرو عن عبد الله بن عمرو بن العاص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«كيف بكم وبزمانٍ - أو يُوشكُ أن يأتي زَمانٌ - يُغربَل الناسُ فيه غربَلةً، تَبقى حُثالةٌ من النّاس قد مَرِجَت عُهودُهم وأَماناتُهم، واختَلفوا فكانُوا هكذا» وشَبّكَ بينَ أَصابعِه،  </w:t>
      </w:r>
      <w:r>
        <w:rPr>
          <w:color w:val="FF0000"/>
          <w:rtl w:val="1"/>
        </w:rPr>
        <w:t xml:space="preserve">فقالوا: كيف بِنا يا رسولَ الله؟ قال: «تأخذونَ ما تَعرِفون، وتَذَرونَ ما تُنكِرون، وتُقبِلونَ على أَمرِ خاصَّتِكُم، وتَذَرونَ أَمرَ عامَّتِكم». </w:t>
      </w:r>
      <w:r>
        <w:rPr>
          <w:color w:val="000000"/>
          <w:rtl w:val="1"/>
        </w:rPr>
        <w:t xml:space="preserve">قال أبو داود: هكذا رُوي عن عبدِ الله بنِ عَمرو، عن النّبيِّ ﷺ من غيرِ وَجه.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نزع الأمانة، وتخوين الأمين، وتأمين الخائن</w:t>
      </w:r>
    </w:p>
    <w:p>
      <w:pPr>
        <w:bidi w:val="1"/>
        <w:jc w:val="start"/>
      </w:pPr>
      <w:r>
        <w:rPr>
          <w:rtl w:val="1"/>
        </w:rPr>
        <w:t>الشرح: الدلالة: حكم الأمر بالمعروف والنهي عن المنكر  بعد طلوع الشمس من المغرب</w:t>
      </w:r>
    </w:p>
    <w:p>
      <w:pPr>
        <w:bidi w:val="1"/>
        <w:jc w:val="start"/>
      </w:pPr>
      <w:r>
        <w:rPr>
          <w:rtl w:val="1"/>
        </w:rPr>
        <w:t>الشرح: الدلالة: شروط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