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استقبال القبِبلة عند قضاء الحاجة .-كتاب الطهارة-سنن أبي داود — رقم الحديث: 8 — الرقم الفرعي: 99 — الرقم الأصلي: 8</w:t>
        <w:br/>
      </w:r>
      <w:r>
        <w:rPr>
          <w:rtl w:val="1"/>
        </w:rPr>
        <w:t xml:space="preserve"> حدثنا عبد الله بن محمد النُّفَيْليّ ثنا ابن المبارك عن محمد بن عجلان عن القعْقاع بن حكيم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«إنَّما أنا لكُم بمَنزلةِ الوالدِ أُعلِّمُكُم،  </w:t>
      </w:r>
      <w:r>
        <w:rPr>
          <w:color w:val="FF0000"/>
          <w:rtl w:val="1"/>
        </w:rPr>
        <w:t xml:space="preserve">فإذا أَتى أحدُكُمُ الغائِطَ فلا يَستَقبِلِ القِبلةَ، ولا يَستَدبِرْها،  </w:t>
      </w:r>
      <w:r>
        <w:rPr>
          <w:color w:val="FF0000"/>
          <w:rtl w:val="1"/>
        </w:rPr>
        <w:t xml:space="preserve">ولا يَستَطِبْ بيمينِهِ»،  </w:t>
      </w:r>
      <w:r>
        <w:rPr>
          <w:color w:val="FF0000"/>
          <w:rtl w:val="1"/>
        </w:rPr>
        <w:t xml:space="preserve">وكان يأمُرُ بثلاثةِ أحجارٍ،  </w:t>
      </w:r>
      <w:r>
        <w:rPr>
          <w:color w:val="FF0000"/>
          <w:rtl w:val="1"/>
        </w:rPr>
        <w:t xml:space="preserve">وينهى عن الرَّوْثِ والرِّمَّة.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النهي عن الاستنجاء أو الاستجمار باليمين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