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نسخ نفير العامة بالخاصة-كتاب الجهاد-سنن أبي داود — رقم الحديث: 2505 — الرقم الفرعي: 99 — الرقم الأصلي: 2505</w:t>
        <w:br/>
      </w:r>
      <w:r>
        <w:rPr>
          <w:rtl w:val="1"/>
        </w:rPr>
        <w:t xml:space="preserve"> حدثنا أحمد بن محمد المروزيّ حدثني عليّ بن الحسين عن أبيه عن يزيد النحويّ عن عكرمة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﴿إِلَّا تَنْفِرُوا يُعَذِّبْكُمْ عَذَابًا أَلِيمًا﴾ [التوبة: 39]، و﴿مَا كَانَ لِأَهْلِ الْمَدِينَةِ﴾ إلى قوله: ﴿يَعْمَلُونَ﴾ [التوبة: 120 - 121]: نسخَتْها الآيةُ التي تَليها: ﴿وَمَا كَانَ الْمُؤْمِنُونَ لِيَنْفِرُوا كَافَّةً﴾ [التوبة: 122].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ما ورد في الناسخ و المنسوخ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الاستنفار الجزئي (التعبئة الجزئية) - أنواع النفير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الاستنفار الشامل (التعبئة الشمولية ) - أنواع النفير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