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المغالاة في الكفن-أول كتاب الجنائز-سنن أبي داود — رقم الحديث: 3154 — الرقم الفرعي: 99 — الرقم الأصلي: 3154</w:t>
        <w:br/>
      </w:r>
      <w:r>
        <w:rPr>
          <w:rtl w:val="1"/>
        </w:rPr>
        <w:t xml:space="preserve"> حدثنا محمد بن عبيد المحاربيّ ثنا عمرو بن هاشم أبو مالك الجنبيّ عن إسماعيل بن أبي خالد عن عامر عن عليّ بن أبي طالب</w:t>
        <w:br/>
      </w:r>
      <w:r>
        <w:rPr>
          <w:color w:val="FF0000"/>
          <w:rtl w:val="1"/>
        </w:rPr>
        <w:t xml:space="preserve">قال: لا تُغَالِ لي في كَفَنِ، فإنِّي سمعتُ رسولَ الله ﷺ يقول:  </w:t>
      </w:r>
      <w:r>
        <w:rPr>
          <w:color w:val="FF0000"/>
          <w:rtl w:val="1"/>
        </w:rPr>
        <w:t xml:space="preserve">«لا تُغَالُوا في الكَفَن، فإنه يُسلَبُه سلْبًا سريعًا».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رابعًا: قيمة ترشيد الاستهلاك في اللباس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