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موطأ مالك — رقم الحديث: 1867 — الرقم الفرعي: 99 — الرقم الأصلي: 1309 — ج: 2 — ص: 641</w:t>
        <w:br/>
      </w:r>
      <w:r>
        <w:rPr>
          <w:rtl w:val="1"/>
        </w:rPr>
        <w:t xml:space="preserve"> وحدثني عن مالك</w:t>
        <w:br/>
      </w:r>
      <w:r>
        <w:rPr>
          <w:color w:val="000000"/>
          <w:rtl w:val="1"/>
        </w:rPr>
        <w:t xml:space="preserve">أنَّه بلَغَه،  </w:t>
      </w:r>
      <w:r>
        <w:rPr>
          <w:color w:val="FF0000"/>
          <w:rtl w:val="1"/>
        </w:rPr>
        <w:t xml:space="preserve">أنَّ صُكوكًا خرَجَتْ للنّاسِ في زَمانِ مَروانَ بنِ الحَكَم من طعامِ الجار،  </w:t>
      </w:r>
      <w:r>
        <w:rPr>
          <w:color w:val="FF0000"/>
          <w:rtl w:val="1"/>
        </w:rPr>
        <w:t xml:space="preserve">فتَبايَعَ النّاسُ تلك الصُّكوكَ بينَهم قبلَ أن يَستَوفُوها،  </w:t>
      </w:r>
      <w:r>
        <w:rPr>
          <w:color w:val="FF0000"/>
          <w:rtl w:val="1"/>
        </w:rPr>
        <w:t xml:space="preserve">فدَخلَ زيدُ بنُ ثابتٍ ورَجلٌ من أَصحابِ رسولِ الله ﷺ على مَروانَ بنِ الحَكَم، فقالا: أتُحِلُّ بيعَ الرِّبا يا مروان؟!  </w:t>
      </w:r>
      <w:r>
        <w:rPr>
          <w:color w:val="FF0000"/>
          <w:rtl w:val="1"/>
        </w:rPr>
        <w:t xml:space="preserve">فقال: أَعوذُ بالله، وما ذاك؟  </w:t>
      </w:r>
      <w:r>
        <w:rPr>
          <w:color w:val="FF0000"/>
          <w:rtl w:val="1"/>
        </w:rPr>
        <w:t xml:space="preserve">فقالا: هذه الصُّكوكُ تَبايَعَها النّاسُ ثم باعُوها قبلَ أن يَستَوفُوها،  </w:t>
      </w:r>
      <w:r>
        <w:rPr>
          <w:color w:val="FF0000"/>
          <w:rtl w:val="1"/>
        </w:rPr>
        <w:t xml:space="preserve">فبعثَ مَروانُ الحَرَسَ يتَّبعونَها، يَنزِعونَها من أَيدي النّاس، ويرُدُّونَها إلى أَهلِها. 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موجودًا حال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مملوكًا لمن يلي العقد - المبيع</w:t>
      </w:r>
    </w:p>
    <w:p>
      <w:pPr>
        <w:bidi w:val="1"/>
        <w:jc w:val="start"/>
      </w:pPr>
      <w:r>
        <w:rPr>
          <w:rtl w:val="1"/>
        </w:rPr>
        <w:t>الشرح: الدلالة: من شروط المبيع كونه معلومًا لكل من العاقدين - المبيع</w:t>
      </w:r>
    </w:p>
    <w:p>
      <w:pPr>
        <w:bidi w:val="1"/>
        <w:jc w:val="start"/>
      </w:pPr>
      <w:r>
        <w:rPr>
          <w:rtl w:val="1"/>
        </w:rPr>
        <w:t>الشرح: الدلالة: النهي عن بيع ما ليس عند الإنسان وما لم يقبضه أو  ينقله من مكانه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 المغانم ما لم تقسم وبيع الصدقات ما لم تقبض وبيع الهبة قبل قبضها - أن لا يكون المبيع مملوكًا للبائع أو موكِّله أو مولِّيه</w:t>
      </w:r>
    </w:p>
    <w:p>
      <w:pPr>
        <w:bidi w:val="1"/>
        <w:jc w:val="start"/>
      </w:pPr>
      <w:r>
        <w:rPr>
          <w:rtl w:val="1"/>
        </w:rPr>
        <w:t>الشرح: الدلالة: بيع العينة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الطعام حتى يجري فيه الصاعان (يدخل فيه القبض) - أسباب النهي المتعلقة بالربا</w:t>
      </w:r>
    </w:p>
    <w:p>
      <w:pPr>
        <w:bidi w:val="1"/>
        <w:jc w:val="start"/>
      </w:pPr>
      <w:r>
        <w:rPr>
          <w:rtl w:val="1"/>
        </w:rPr>
        <w:t>الشرح: الدلالة: بيع العينة - البيوع الربوية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