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الحرير والذهب-كتاب اللباس-سنن الترمذي — رقم الحديث: 1720 — الرقم الفرعي: 99 — الرقم الأصلي: 1720</w:t>
        <w:br/>
      </w:r>
      <w:r>
        <w:rPr>
          <w:rtl w:val="1"/>
        </w:rPr>
        <w:t xml:space="preserve"> حدثنا إسحاق بن منصور حدثنا عبد الله بن نُمير حدثنا عبيدالله بن عمر عن نافع عن سعيد بن أبي هند عن أبي موسى الأشعريّ أنّ رسول الله صلى الله عليه وسلم</w:t>
        <w:br/>
      </w:r>
      <w:r>
        <w:rPr>
          <w:color w:val="000000"/>
          <w:rtl w:val="1"/>
        </w:rPr>
        <w:t xml:space="preserve">قال:  </w:t>
      </w:r>
      <w:r>
        <w:rPr>
          <w:color w:val="FF0000"/>
          <w:rtl w:val="1"/>
        </w:rPr>
        <w:t xml:space="preserve">«حُرِّمَ لِباسُ الحَريرِ والذَّهبِ على ذُكورِ أُمَّتي، وأُحِلَّ لإناثِهم». </w:t>
      </w:r>
      <w:r>
        <w:rPr>
          <w:color w:val="000000"/>
          <w:rtl w:val="1"/>
        </w:rPr>
        <w:t xml:space="preserve">وفي البابِ عن عُمرَ، وعليٍّ، وعُقبةَ بنِ عامر، وأُمِّ هانئ، وأَنسٍ، وحُذيفةَ، وعبدِ الله بن عَمرٍو، وعِمرانَ بنِ حُصَين، وعبدِ الله بنِ الزُّبير، وجابرٍ، وأَبي رَيحانةَ، وابنِ عُمرَ، والبَراء. </w:t>
      </w:r>
      <w:r>
        <w:rPr>
          <w:color w:val="000000"/>
          <w:rtl w:val="1"/>
        </w:rPr>
        <w:t xml:space="preserve">هذا حديثٌ حسنٌ صحيح. </w:t>
      </w:r>
    </w:p>
    <w:p>
      <w:pPr>
        <w:bidi w:val="1"/>
        <w:jc w:val="start"/>
      </w:pPr>
      <w:r>
        <w:rPr>
          <w:rtl w:val="1"/>
        </w:rPr>
        <w:t>درجة الحديث: صحيح بشواهده</w:t>
      </w:r>
    </w:p>
    <w:p>
      <w:pPr>
        <w:bidi w:val="1"/>
        <w:jc w:val="start"/>
      </w:pPr>
      <w:r>
        <w:rPr>
          <w:rtl w:val="1"/>
        </w:rPr>
        <w:t>الشرح: الدلالة: المياثر - الفرش والستور</w:t>
      </w:r>
    </w:p>
    <w:p>
      <w:pPr>
        <w:bidi w:val="1"/>
        <w:jc w:val="start"/>
      </w:pPr>
      <w:r>
        <w:rPr>
          <w:rtl w:val="1"/>
        </w:rPr>
        <w:t>الشرح: الدلالة: حسن صحيح - الصحيح</w:t>
      </w:r>
    </w:p>
    <w:p>
      <w:pPr>
        <w:bidi w:val="1"/>
        <w:jc w:val="start"/>
      </w:pPr>
      <w:r>
        <w:rPr>
          <w:rtl w:val="1"/>
        </w:rPr>
        <w:t>الشرح: الدلالة: الحرير (ومنه السندس والإستبرق والديباج والسيراء والخَزّ) - المادة التي يصنع منها اللباس</w:t>
      </w:r>
    </w:p>
    <w:p>
      <w:pPr>
        <w:bidi w:val="1"/>
        <w:jc w:val="start"/>
      </w:pPr>
      <w:r>
        <w:rPr>
          <w:rtl w:val="1"/>
        </w:rPr>
        <w:t>الشرح: الدلالة: الحرير للرجال (انظر أنواع اللباس) - اللباس المنهي عنه</w:t>
      </w:r>
    </w:p>
    <w:p>
      <w:pPr>
        <w:bidi w:val="1"/>
        <w:jc w:val="start"/>
      </w:pPr>
      <w:r>
        <w:rPr>
          <w:rtl w:val="1"/>
        </w:rPr>
        <w:t>الشرح: الدلالة: التشبه بين الرجال والنساء (انظر هيئات اللباس) - اللباس المنهي عنه</w:t>
      </w:r>
    </w:p>
    <w:p>
      <w:pPr>
        <w:bidi w:val="1"/>
        <w:jc w:val="start"/>
      </w:pPr>
      <w:r>
        <w:rPr>
          <w:rtl w:val="1"/>
        </w:rPr>
        <w:t>الشرح: الدلالة: القوانين والأحكام (الحدود والقصاص والتعزير) - الضبط الاجتماعي</w:t>
      </w:r>
    </w:p>
    <w:p>
      <w:pPr>
        <w:bidi w:val="1"/>
        <w:jc w:val="start"/>
      </w:pPr>
      <w:r>
        <w:rPr>
          <w:rtl w:val="1"/>
        </w:rPr>
        <w:t>الشرح: الدلالة: الفروق بين الجنسين - مراعاة الفروق الفردية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