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النزول بالمحصب يوم النفر،والصلاة به-كتاب الحجّ-صحيح مسلم — رقم الحديث: 1311 — الرقم الفرعي: 1 — الرقم الأصلي: 1311</w:t>
        <w:br/>
      </w:r>
      <w:r>
        <w:rPr>
          <w:rtl w:val="1"/>
        </w:rPr>
        <w:t xml:space="preserve"> حدثنا أبو بكر بن أبي شيبة و أبو كريب قالا:حدثنا عبد الله بن نمير حدثنا هشام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نُزولُ الأَبطَح ليس بسُنَّة، إنَّما نزَلَه رسولُ الله ﷺ لأَنه كان أَسمَحَ لخُروجِه إذا خَرَج. </w:t>
      </w:r>
    </w:p>
    <w:p>
      <w:pPr>
        <w:bidi w:val="1"/>
        <w:jc w:val="start"/>
      </w:pPr>
      <w:r>
        <w:rPr>
          <w:rtl w:val="1"/>
        </w:rPr>
        <w:t>الشرح: الدلالة: منزله صلى الله عليه وسلم بعد الانتهاء من أعمال الحج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