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غسل المنيّ وفركه وغسل ما يصيب من المرأة-كتاب الوضوء-صحيح البخاري — رقم الحديث: 229 — الرقم الفرعي: 99 — الرقم الأصلي: 229</w:t>
        <w:br/>
      </w:r>
      <w:r>
        <w:rPr>
          <w:rtl w:val="1"/>
        </w:rPr>
        <w:t xml:space="preserve"> حدثنا عبدان قال: أخبرنا عبد الله قال: أخبرنا عمرو بن ميمون الجزريّ عن سليمان بن يسار عن عائشة</w:t>
        <w:br/>
      </w:r>
      <w:r>
        <w:rPr>
          <w:color w:val="FF0000"/>
          <w:rtl w:val="1"/>
        </w:rPr>
        <w:t xml:space="preserve">قالت: كنتُ أغْسِلُ الجَنابةَ مِن ثوبِ النبيِّ ﷺ،  </w:t>
      </w:r>
      <w:r>
        <w:rPr>
          <w:color w:val="FF0000"/>
          <w:rtl w:val="1"/>
        </w:rPr>
        <w:t xml:space="preserve">فيَخرُجُ إلى الصلاةِ وإنَّ بُقَعَ الماءِ في ثوبِه.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طهارة الثوب - الطهارة</w:t>
      </w:r>
    </w:p>
    <w:p>
      <w:pPr>
        <w:bidi w:val="1"/>
        <w:jc w:val="start"/>
      </w:pPr>
      <w:r>
        <w:rPr>
          <w:rtl w:val="1"/>
        </w:rPr>
        <w:t>الشرح: الدلالة: النظافة والطهارة (يحال إلى العبادات والطهارة ) - الرعاية الجسمية</w:t>
      </w:r>
    </w:p>
    <w:p>
      <w:pPr>
        <w:bidi w:val="1"/>
        <w:jc w:val="start"/>
      </w:pPr>
      <w:r>
        <w:rPr>
          <w:rtl w:val="1"/>
        </w:rPr>
        <w:t>الشرح: الدلالة: مني الآدمي - الأعيان الطاهرة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