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192 — الرقم الفرعي: 99 — الرقم الأصلي: 192</w:t>
        <w:br/>
      </w:r>
      <w:r>
        <w:rPr>
          <w:rtl w:val="1"/>
        </w:rPr>
        <w:t xml:space="preserve"> حدثنا وكيع حدثنا هشام بن عروة عن أبيه عن عاصم بن عمر عن أبيه قال:قال رسول الله صلى الله عليه وسلم</w:t>
        <w:br/>
      </w:r>
      <w:r>
        <w:rPr>
          <w:color w:val="000000"/>
          <w:rtl w:val="1"/>
        </w:rPr>
        <w:t xml:space="preserve">«إِذَا أَقبَلَ اللَّيْلُ -وَقَالَ مَرَّةً: جَاءَ اللَّيْلُ- مِنْ هَاهنَا، وَذَهَبَ النَّهارُ مِنْ هاَهُنَا، فَقدْ أَفْطرَ الصَّائِمُ» يَعْنِي الْمَشْرِقَ وَالْمَغْرِبَ.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