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النهي للبائع أن لا يُحفّل الإبل-كتاب البيوع-صحيح البخاري — رقم الحديث: 2150 — الرقم الفرعي: 99 — الرقم الأصلي: 2150</w:t>
        <w:br/>
      </w:r>
      <w:r>
        <w:rPr>
          <w:rtl w:val="1"/>
        </w:rPr>
        <w:t xml:space="preserve"> حدثنا عبد الله بن يوسف أخبرنا مالك عن أبي الزنّاد عن الأعرج عن أبي هريرة رضي الله عنه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«لا تَلَقَّوُا الرُّكْبانَ،  </w:t>
      </w:r>
      <w:r>
        <w:rPr>
          <w:color w:val="FF0000"/>
          <w:rtl w:val="1"/>
        </w:rPr>
        <w:t xml:space="preserve">ولا يبيعُ بعضُكم على بيعِ بعضٍ،  </w:t>
      </w:r>
      <w:r>
        <w:rPr>
          <w:color w:val="FF0000"/>
          <w:rtl w:val="1"/>
        </w:rPr>
        <w:t xml:space="preserve">ولا تَناجَشُوا،  </w:t>
      </w:r>
      <w:r>
        <w:rPr>
          <w:color w:val="FF0000"/>
          <w:rtl w:val="1"/>
        </w:rPr>
        <w:t xml:space="preserve">ولا يبيعُ حاضِرٌ لِبادٍ،  </w:t>
      </w:r>
      <w:r>
        <w:rPr>
          <w:color w:val="FF0000"/>
          <w:rtl w:val="1"/>
        </w:rPr>
        <w:t xml:space="preserve">ولا تُصَرُّوا الغَنَمَ،  </w:t>
      </w:r>
      <w:r>
        <w:rPr>
          <w:color w:val="FF0000"/>
          <w:rtl w:val="1"/>
        </w:rPr>
        <w:t xml:space="preserve">ومَنِ ابتاعَها فهو بخيرِ النَّظَرَينِ بعدَ أنْ يَحتَلِبَها: إنْ رَضِيَها أمسَكَها، وإنْ سَخِطَها رَدَّها وصاعًا من تمرٍ». </w:t>
      </w:r>
    </w:p>
    <w:p>
      <w:pPr>
        <w:bidi w:val="1"/>
        <w:jc w:val="start"/>
      </w:pPr>
      <w:r>
        <w:rPr>
          <w:rtl w:val="1"/>
        </w:rPr>
        <w:t>الشرح: الدلالة: بيع المسلم على بيع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سوم  المسلم وشراؤه على شراء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قيمة تحريم الغِشّ والغَبْن والخِداع في المعاملات المالية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