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الشروط في الطلاق-كتاب الشروط-صحيح البخاري — رقم الحديث: 2727 — الرقم الفرعي: 99 — الرقم الأصلي: 2727</w:t>
        <w:br/>
      </w:r>
      <w:r>
        <w:rPr>
          <w:rtl w:val="1"/>
        </w:rPr>
        <w:t xml:space="preserve"> حدثنا محمد بن عرعرة حدثنا شعبة عن عديّ بن ثابت عن أبي حازم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رسولُ الله ﷺ عن التَّلَقّي،  </w:t>
      </w:r>
      <w:r>
        <w:rPr>
          <w:color w:val="FF0000"/>
          <w:rtl w:val="1"/>
        </w:rPr>
        <w:t xml:space="preserve">وأنْ يَبْتاعَ المهاجِرُ لِلأعرابيِّ،  </w:t>
      </w:r>
      <w:r>
        <w:rPr>
          <w:color w:val="000000"/>
          <w:rtl w:val="1"/>
        </w:rPr>
        <w:t xml:space="preserve">وأنْ تَشْتَرِطَ المرأةُ طَلاقَ أُختِها،  </w:t>
      </w:r>
      <w:r>
        <w:rPr>
          <w:color w:val="FF0000"/>
          <w:rtl w:val="1"/>
        </w:rPr>
        <w:t xml:space="preserve">وأنْ يَسْتامَ الرَّجلُ على سَوْمِ أخيه،  </w:t>
      </w:r>
      <w:r>
        <w:rPr>
          <w:color w:val="FF0000"/>
          <w:rtl w:val="1"/>
        </w:rPr>
        <w:t xml:space="preserve">ونَهَى عن النَّجْشِ،  </w:t>
      </w:r>
      <w:r>
        <w:rPr>
          <w:color w:val="FF0000"/>
          <w:rtl w:val="1"/>
        </w:rPr>
        <w:t xml:space="preserve">وعن التَّصْرِيَةِ. </w:t>
      </w:r>
      <w:r>
        <w:rPr>
          <w:color w:val="000000"/>
          <w:rtl w:val="1"/>
        </w:rPr>
        <w:t xml:space="preserve">تابَعَه مُعاذٌ وعبدُ الصَّمَد، عن شُعْبةَ. </w:t>
      </w:r>
      <w:r>
        <w:rPr>
          <w:color w:val="000000"/>
          <w:rtl w:val="1"/>
        </w:rPr>
        <w:t xml:space="preserve">وقال غُندَرٌ، وعبدُ الرَّحمنِ: نُهِيَ. </w:t>
      </w:r>
      <w:r>
        <w:rPr>
          <w:color w:val="000000"/>
          <w:rtl w:val="1"/>
        </w:rPr>
        <w:t xml:space="preserve">وقال آدمُ: نُهِينا. </w:t>
      </w:r>
      <w:r>
        <w:rPr>
          <w:color w:val="000000"/>
          <w:rtl w:val="1"/>
        </w:rPr>
        <w:t xml:space="preserve">وقال النَّضْرُ وحَجّاجُ بنُ مِنْهالٍ: نَهَى. </w:t>
      </w:r>
    </w:p>
    <w:p>
      <w:pPr>
        <w:bidi w:val="1"/>
        <w:jc w:val="start"/>
      </w:pPr>
      <w:r>
        <w:rPr>
          <w:rtl w:val="1"/>
        </w:rPr>
        <w:t>الشرح: الدلالة: تلقي الجلب أو الركبان أو السلع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بيع المسلم على بيع أخيه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عدم البيع على بيع الغير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بيع المصراة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سوم  المسلم وشراؤه على شراء أخيه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بيع الحاضر للبادي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النجش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