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1661 — الرقم الفرعي: 99 — الرقم الأصلي: 1661</w:t>
        <w:br/>
      </w:r>
      <w:r>
        <w:rPr>
          <w:rtl w:val="1"/>
        </w:rPr>
        <w:t xml:space="preserve"> حدثنا يحيى بن إسحاق حدثنا ابن لَهيعة عن عبيد الله بن أبي جعفر أنّ ابن قارظ أخبره عن عبد الرحمن بن عوف قال:قال رسول الله صلى الله عليه وسلم</w:t>
        <w:br/>
      </w:r>
      <w:r>
        <w:rPr>
          <w:color w:val="000000"/>
          <w:rtl w:val="1"/>
        </w:rPr>
        <w:t xml:space="preserve">«إذا صَلَّت المرأةُ خَمسَها،  </w:t>
      </w:r>
      <w:r>
        <w:rPr>
          <w:color w:val="000000"/>
          <w:rtl w:val="1"/>
        </w:rPr>
        <w:t xml:space="preserve">وصامَت شَهرَها،  </w:t>
      </w:r>
      <w:r>
        <w:rPr>
          <w:color w:val="000000"/>
          <w:rtl w:val="1"/>
        </w:rPr>
        <w:t xml:space="preserve">وحَفِظَت فرجَها،  </w:t>
      </w:r>
      <w:r>
        <w:rPr>
          <w:color w:val="FF0000"/>
          <w:rtl w:val="1"/>
        </w:rPr>
        <w:t xml:space="preserve">وأَطاعَت زَوجَها،  </w:t>
      </w:r>
      <w:r>
        <w:rPr>
          <w:color w:val="000000"/>
          <w:rtl w:val="1"/>
        </w:rPr>
        <w:t xml:space="preserve">قيل لها: ادخُلِي الجنَّة مِن أَيِّ أَبوابِ الجَنّة شِئتِ».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