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في الثناء على الله ،والصلاة على النبيّ-أبواب الصلاة-سنن الترمذي — رقم الحديث: 593 — الرقم الفرعي: 99 — الرقم الأصلي: 593</w:t>
        <w:br/>
      </w:r>
      <w:r>
        <w:rPr>
          <w:rtl w:val="1"/>
        </w:rPr>
        <w:t xml:space="preserve"> حدثنا محمود بن غَيلان حدثنا يحيى بن آدم حدثنا أبو بكر بن عيّاش عن عاصم عن زِرّ عن عبد الله</w:t>
        <w:br/>
      </w:r>
      <w:r>
        <w:rPr>
          <w:color w:val="FF0000"/>
          <w:rtl w:val="1"/>
        </w:rPr>
        <w:t xml:space="preserve">قال: كُنتُ أُصَلِّي والنَّبِيُّ ﷺ وأَبو بَكرٍ، وعُمرُ مَعَه، فلَمَّا جَلَستُ بَدَأتُ بالثَّناءِ على اللَّهِ،  </w:t>
      </w:r>
      <w:r>
        <w:rPr>
          <w:color w:val="FF0000"/>
          <w:rtl w:val="1"/>
        </w:rPr>
        <w:t xml:space="preserve">ثُمَّ الصَّلاةِ على النَّبِيِّ ﷺ، ثمَّ دَعَوتُ لنَفسي، فقال النَّبِيُّ ﷺ: «سَل تُعطَه، سَل تُعطَه».  </w:t>
      </w:r>
      <w:r>
        <w:rPr>
          <w:color w:val="000000"/>
          <w:rtl w:val="1"/>
        </w:rPr>
        <w:t xml:space="preserve">وفي الباب عَن فضالَةَ بنِ عُبَيدٍ.  </w:t>
      </w:r>
      <w:r>
        <w:rPr>
          <w:color w:val="000000"/>
          <w:rtl w:val="1"/>
        </w:rPr>
        <w:t xml:space="preserve">حَديثُ عَبدِ اللَّهِ بنِ مَسعُودٍ حَديثٌ حَسَنٌ صَحيحٌ. </w:t>
      </w:r>
      <w:r>
        <w:rPr>
          <w:color w:val="000000"/>
          <w:rtl w:val="1"/>
        </w:rPr>
        <w:t xml:space="preserve">هٰذا الحَديثُ رواه أَحمدُ بنُ حَنبَلٍ، عَن يَحيَى بنِ آدَمَ مُختَصَرًا.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آداب المدح والثناء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