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وقت المغرب-كتاب الصلاة-سنن أبي داود — رقم الحديث: 418 — الرقم الفرعي: 99 — الرقم الأصلي: 418</w:t>
        <w:br/>
      </w:r>
      <w:r>
        <w:rPr>
          <w:rtl w:val="1"/>
        </w:rPr>
        <w:t xml:space="preserve"> حدثنا عبيدالله بن عمر ثنا يزيد بن زريع ثنا محمد بن إسحاق حدثني يزيد بن أبي حبيب عن مرثد بن عبد الله</w:t>
        <w:br/>
      </w:r>
      <w:r>
        <w:rPr>
          <w:color w:val="000000"/>
          <w:rtl w:val="1"/>
        </w:rPr>
        <w:t xml:space="preserve">قال: قَدِمَ علينا أبو أيوب غازياً، وعُقبةُ بنُ عامر يومئذٍ على مِصرَ،  </w:t>
      </w:r>
      <w:r>
        <w:rPr>
          <w:color w:val="000000"/>
          <w:rtl w:val="1"/>
        </w:rPr>
        <w:t xml:space="preserve">فأخرَ المَغرِبَ، فقامَ إليه أبو أيوب فقال: ما هذه الصَّلاةُ يا عُقبةُ؟ قال: شُغِلنا،  </w:t>
      </w:r>
      <w:r>
        <w:rPr>
          <w:color w:val="FF0000"/>
          <w:rtl w:val="1"/>
        </w:rPr>
        <w:t xml:space="preserve">قال: أمَا سمعتَ رسولَ الله ﷺ يقولُ: «لا تزالُ أُمَّتي بخيرٍ -أو قال: على الفِطرةِ- ما لم يُؤَخِّروا المَغرِبَ إلى أن تَشتَبكَ النُّجومُ».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النصيحة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النصيحة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المنكرات المتعلقة بالعقائد والعبادات والمساجد</w:t>
      </w:r>
    </w:p>
    <w:p>
      <w:pPr>
        <w:bidi w:val="1"/>
        <w:jc w:val="start"/>
      </w:pPr>
      <w:r>
        <w:rPr>
          <w:rtl w:val="1"/>
        </w:rPr>
        <w:t>الشرح: الدلالة: تغيير المنكر باللسان</w:t>
      </w:r>
    </w:p>
    <w:p>
      <w:pPr>
        <w:bidi w:val="1"/>
        <w:jc w:val="start"/>
      </w:pPr>
      <w:r>
        <w:rPr>
          <w:rtl w:val="1"/>
        </w:rPr>
        <w:t>الشرح: الدلالة: تعجيل صلاة المغرب - صلاة المغرب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