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المشي والركوب إلى العيد بغير أذان ولا إقامة-كتاب الصلاة-صحيح البخاري — رقم الحديث: 957 — الرقم الفرعي: 99 — الرقم الأصلي: 957</w:t>
        <w:br/>
      </w:r>
      <w:r>
        <w:rPr>
          <w:rtl w:val="1"/>
        </w:rPr>
        <w:t xml:space="preserve"> حدثنا إبراهيم بن المنذر قال:حدثنا أنس عن عبيد الله عن نافع عن عبد الله بن عمر</w:t>
        <w:br/>
      </w:r>
      <w:r>
        <w:rPr>
          <w:color w:val="FF0000"/>
          <w:rtl w:val="1"/>
        </w:rPr>
        <w:t xml:space="preserve">أنَّ رسولَ الله ﷺ كان يُصلِّي في الأضْحَى والفِطْرِ،  </w:t>
      </w:r>
      <w:r>
        <w:rPr>
          <w:color w:val="FF0000"/>
          <w:rtl w:val="1"/>
        </w:rPr>
        <w:t xml:space="preserve">ثمَّ يَخطُبُ بعدَ الصلاةِ.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صلاة العيدين وفضلها - صلاة العيدين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عيد الفطر - ما ورد في العيدين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