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إذا قام من مجلسه ثم عاد،فهو أحقّ به-كتاب السلام-صحيح مسلم — رقم الحديث: 2179 — الرقم الفرعي: 99 — الرقم الأصلي: 2179</w:t>
        <w:br/>
      </w:r>
      <w:r>
        <w:rPr>
          <w:rtl w:val="1"/>
        </w:rPr>
        <w:t xml:space="preserve"> وحدثنا قُتيبة بن سعيد أخبرنا أبو عَوانة وقال قُتيبة ملاحظة أيضاً حدثنا عبد العزيز ملاحظة يعني ابن محمد كلاهما عن سُهيل عن أبيه عن أبي هريرة أنّ رسول الله صلى الله عليه وسلم</w:t>
        <w:br/>
      </w:r>
      <w:r>
        <w:rPr>
          <w:color w:val="000000"/>
          <w:rtl w:val="1"/>
        </w:rPr>
        <w:t xml:space="preserve">قال:  </w:t>
      </w:r>
      <w:r>
        <w:rPr>
          <w:color w:val="000000"/>
          <w:rtl w:val="1"/>
        </w:rPr>
        <w:t xml:space="preserve">«إذا قامَ أَحدُكم»  </w:t>
      </w:r>
      <w:r>
        <w:rPr>
          <w:color w:val="000000"/>
          <w:rtl w:val="1"/>
        </w:rPr>
        <w:t xml:space="preserve">وفي حديث أَبي عَوانة  </w:t>
      </w:r>
      <w:r>
        <w:rPr>
          <w:color w:val="FF0000"/>
          <w:rtl w:val="1"/>
        </w:rPr>
        <w:t xml:space="preserve">«مَن قامَ مِن مَجلِسِه، ثم رَجَعَ إليه فهو أَحقُّ به». </w:t>
      </w:r>
    </w:p>
    <w:p>
      <w:pPr>
        <w:bidi w:val="1"/>
        <w:jc w:val="start"/>
      </w:pPr>
      <w:r>
        <w:rPr>
          <w:rtl w:val="1"/>
        </w:rPr>
        <w:t>درجة الحديث: صحيح</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آداب متعلقة بخطبة الجمعة وصلاتها - صلاة الجمعة</w:t>
      </w:r>
    </w:p>
    <w:p>
      <w:pPr>
        <w:bidi w:val="1"/>
        <w:jc w:val="start"/>
      </w:pPr>
      <w:r>
        <w:rPr>
          <w:rtl w:val="1"/>
        </w:rPr>
        <w:t>الشرح: الدلالة: قيمة تكافؤ الفرص في استخدام المرافق العامّة - قيم تكافؤ الفُرَص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