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الدعاء في صلاة الليل وقيامه-كتاب صلاة المسافرين وقصرها-صحيح مسلم — رقم الحديث: 763 — الرقم الفرعي: 12 — الرقم الأصلي: 763</w:t>
        <w:br/>
      </w:r>
      <w:r>
        <w:rPr>
          <w:rtl w:val="1"/>
        </w:rPr>
        <w:t xml:space="preserve"> حدثنا واصل بن عبد الأعلى حدثنا محمد بن فُضيل عن حُصين بن عبد الرحمن عن حبيب بن أبي ثابت عن محمد بن عليّ بن عبد الله بن عباس عن أبيه عن عبد الله بن عباس</w:t>
        <w:br/>
      </w:r>
      <w:r>
        <w:rPr>
          <w:color w:val="000000"/>
          <w:rtl w:val="1"/>
        </w:rPr>
        <w:t xml:space="preserve">أَنَّهُ رَقَدَ عِنْدَ رَسُولِ اللَّهِ ﷺ. فَاسْتَيْقَظَ. فَتَسَوَّكَ وَتَوَضَّأَ وَهُوَ يَقُولُ: </w:t>
      </w:r>
      <w:r>
        <w:rPr>
          <w:color w:val="000000"/>
          <w:rtl w:val="1"/>
        </w:rPr>
        <w:t xml:space="preserve">﴿إن في خلق السماوات وَالأَرْضِ وَاخْتِلافِ اللَّيْلِ وَالنَّهَارِ لآيَاتٍ لأُولِي الأَلْبَابِ﴾ [آل عمران: 190]. فَقَرَأَ هؤُلَاءِ الآيَاتِ حَتَّى خَتَمَ السُّورَةَ.  </w:t>
      </w:r>
      <w:r>
        <w:rPr>
          <w:color w:val="000000"/>
          <w:rtl w:val="1"/>
        </w:rPr>
        <w:t xml:space="preserve">ثُمَّ قَامَ فَصَلَّى رَكْعَتَيْنِ.  </w:t>
      </w:r>
      <w:r>
        <w:rPr>
          <w:color w:val="000000"/>
          <w:rtl w:val="1"/>
        </w:rPr>
        <w:t xml:space="preserve">فَأَطَالَ فِيهِمَا الْقِيَامَ وَالرُّكُوعَ وَالسُّجُودَ. ثُمَّ انْصَرَفَ فَنَامَ حَتَّى نَفَخَ.  </w:t>
      </w:r>
      <w:r>
        <w:rPr>
          <w:color w:val="000000"/>
          <w:rtl w:val="1"/>
        </w:rPr>
        <w:t xml:space="preserve">ثُمَّ فَعَلَ ذَلِكَ ثَلَاثَ مَرَّاتٍ. سِتَّ رَكَعَاتٍ. كُلَّ ذَلِكَ يَسْتَاكُ وَيَتَوَضَّأُ وَيَقْرَأُ هَؤُلَاءِ الآيَاتِ. ثُمَّ أَوْتَرَ بِثَلَاثٍ.  </w:t>
      </w:r>
      <w:r>
        <w:rPr>
          <w:color w:val="FF0000"/>
          <w:rtl w:val="1"/>
        </w:rPr>
        <w:t xml:space="preserve">فَأَذَّنَ الْمُؤَذِّنُ فَخَرَجَ إِلَى الصَّلَاةِ. وَهُوَ يَقُولُ: «اللَّهُمَّ اجْعَلْ فِي قَلْبِي نُورًا، وَفِي لِسَانِي نُورًا، وَاجْعَلْ فِي سَمْعِي نُورًا، وَاجْعَلْ فِي بَصَرِي نُورًا، وَاجْعَلْ مِنْ خَلْفِي نُورًا، وَمِنْ أَمَامِي نُورًا، وَاجْعَلْ مِنْ فَوْقِي نُورًا، وَمِنْ تَحْتِي نُورًا. اللَّهُمَّ! أَعْطِنِي نُورًا». </w:t>
      </w:r>
      <w:r>
        <w:rPr>
          <w:color w:val="000000"/>
          <w:rtl w:val="1"/>
        </w:rPr>
        <w:t xml:space="preserve"> </w:t>
      </w:r>
    </w:p>
    <w:p>
      <w:pPr>
        <w:bidi w:val="1"/>
        <w:jc w:val="start"/>
      </w:pPr>
      <w:r>
        <w:rPr>
          <w:rtl w:val="1"/>
        </w:rPr>
        <w:t>درجة الحديث: صحيح</w:t>
      </w:r>
    </w:p>
    <w:p>
      <w:pPr>
        <w:bidi w:val="1"/>
        <w:jc w:val="start"/>
      </w:pPr>
      <w:r>
        <w:rPr>
          <w:rtl w:val="1"/>
        </w:rPr>
        <w:t>الشرح: الدلالة: أذكار المشي إلى المسجد - الذكر والدعاء في العبادات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