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ما جاء في المسح بغير توقيت-كتاب الطهارة وسننها-سنن ابن ماجة — رقم الحديث: 558 — الرقم الفرعي: 99 — الرقم الأصلي: 558</w:t>
        <w:br/>
      </w:r>
      <w:r>
        <w:rPr>
          <w:rtl w:val="1"/>
        </w:rPr>
        <w:t xml:space="preserve"> حدثنا أحمد بن يوسف السّلميّ ثنا أبو عاصم ثنا حَيْوة بن شُريح عن يزيد بن أبي حبيب عن الحكم بن عبد الله البلويّ عن عليّ بن رباح اللّخميّ عن عقبة بن عامر الجُهنيّ</w:t>
        <w:br/>
      </w:r>
      <w:r>
        <w:rPr>
          <w:color w:val="FF0000"/>
          <w:rtl w:val="1"/>
        </w:rPr>
        <w:t xml:space="preserve">أنَّه قَدِمَ على عُمَرَ بنِ الخَطَّابِ مِن مِصرَ فقال: مُنذُ كَم لَم تَنزِع خُفَّيكَ؟ قال: مِن الجُمُعَةِ إِلى الجُمُعةِ، قال: أَصَبتَ السُّنَّةَ. </w:t>
      </w:r>
    </w:p>
    <w:p>
      <w:pPr>
        <w:bidi w:val="1"/>
        <w:jc w:val="start"/>
      </w:pPr>
      <w:r>
        <w:rPr>
          <w:rtl w:val="1"/>
        </w:rPr>
        <w:t>درجة الحديث: صحيح لغيره / صحيح لغيره</w:t>
      </w:r>
    </w:p>
    <w:p>
      <w:pPr>
        <w:bidi w:val="1"/>
        <w:jc w:val="start"/>
      </w:pPr>
      <w:r>
        <w:rPr>
          <w:rtl w:val="1"/>
        </w:rPr>
        <w:t>الشرح: الدلالة: تاريخ الخلفاء الراشدين ومناقبهم</w:t>
      </w:r>
    </w:p>
    <w:p>
      <w:pPr>
        <w:bidi w:val="1"/>
        <w:jc w:val="start"/>
      </w:pPr>
      <w:r>
        <w:rPr>
          <w:rtl w:val="1"/>
        </w:rPr>
        <w:t>الشرح: الدلالة: تاريخ عمر بن الخطاب وخلافته ومناقبه - تاريخ الخلفاء الراشدين ومناقبهم</w:t>
      </w:r>
    </w:p>
    <w:p>
      <w:pPr>
        <w:bidi w:val="1"/>
        <w:jc w:val="start"/>
      </w:pPr>
      <w:r>
        <w:rPr>
          <w:rtl w:val="1"/>
        </w:rPr>
        <w:t>الشرح: الدلالة: مدة المسح - المسح على الخفين والجوربين</w:t>
      </w:r>
    </w:p>
    <w:p>
      <w:pPr>
        <w:bidi w:val="1"/>
        <w:jc w:val="start"/>
      </w:pPr>
      <w:r>
        <w:rPr>
          <w:rtl w:val="1"/>
        </w:rPr>
        <w:t>الشرح: الدلالة: الاعتصام بالكتاب والسنة (الثبات) - المباديء</w:t>
      </w:r>
    </w:p>
    <w:p>
      <w:pPr>
        <w:bidi w:val="1"/>
        <w:jc w:val="start"/>
      </w:pPr>
      <w:r>
        <w:rPr>
          <w:rtl w:val="1"/>
        </w:rPr>
        <w:t>الشرح: الدلالة: الالتزام بالكتاب والسنة</w:t>
      </w:r>
    </w:p>
    <w:p>
      <w:pPr>
        <w:bidi w:val="1"/>
        <w:jc w:val="start"/>
      </w:pPr>
      <w:r>
        <w:rPr>
          <w:rtl w:val="1"/>
        </w:rPr>
        <w:t>الشرح: الدلالة: خلع الخفين والجوربين - نواقض المسح</w:t>
      </w:r>
    </w:p>
    <w:p>
      <w:pPr>
        <w:bidi w:val="1"/>
        <w:jc w:val="start"/>
      </w:pPr>
      <w:r>
        <w:rPr>
          <w:rtl w:val="1"/>
        </w:rPr>
        <w:t>الشرح: الدلالة: الحاجة إلى العلم والمعرفة - حاجات المتعلمين</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التقويم الختامي - أنواع التقويم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