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295 — الرقم الفرعي: 99 — الرقم الأصلي: 295 — ج: 1 — ص: 42</w:t>
        <w:br/>
      </w:r>
      <w:r>
        <w:rPr>
          <w:rtl w:val="1"/>
        </w:rPr>
        <w:t xml:space="preserve"> حدثنا عبد الرزاق أخبرنا الثوريّ عن أبي إسحاق عن عمرو بن ميمون قال:سمعت عمر بن الخطاب</w:t>
        <w:br/>
      </w:r>
      <w:r>
        <w:rPr>
          <w:color w:val="000000"/>
          <w:rtl w:val="1"/>
        </w:rPr>
        <w:t xml:space="preserve">يَقُولُ: كَانَ أَهْلُ الجَاهِلِيَّةِ لَا يُفِيضُونَ مِنْ جَمْعٍ، حَتَّى يَرَوْا الشَّمْسَ عَلَى ثَبِيرٍ، وكَانُوا يَقُولُونَ: أَشرِقْ ثَبِيرُ كَيْمَا نُغِيرُ، فأفَاضَ رَسُولُ اللهِ ﷺ قَبْلَ طُلُوعِ الشَّمْسِ.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