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15610 — الرقم الفرعي: 99 — الرقم الأصلي: 15610</w:t>
        <w:br/>
      </w:r>
      <w:r>
        <w:rPr>
          <w:rtl w:val="1"/>
        </w:rPr>
        <w:t xml:space="preserve"> حدثنا عبد الله حدثني أبي ثنا حسن ثنا ابن لهيعة قال:وثنا يحيى بن غيلان عن رشدين ثنا زبان بن فائد الحبرانيّ عن سهل بن معاذ الجهنيّ عن أبيه معاذ بن أنس الجهنيّ ملاحظة صاحب النبيّ صلى الله عليه وسلم عن النبيّ صلى الله عليه وسلم</w:t>
        <w:br/>
      </w:r>
      <w:r>
        <w:rPr>
          <w:color w:val="000000"/>
          <w:rtl w:val="1"/>
        </w:rPr>
        <w:t xml:space="preserve">قال:  </w:t>
      </w:r>
      <w:r>
        <w:rPr>
          <w:color w:val="FF0000"/>
          <w:rtl w:val="1"/>
        </w:rPr>
        <w:t xml:space="preserve">«مَن قَرَأ ﴿قُلْ هُوَ اللهُ أَحَدٌ﴾حتَّى يَختِمها عَشر مَرّات، بنى اللهُ له قَصرًا في الجنّة»  </w:t>
      </w:r>
      <w:r>
        <w:rPr>
          <w:color w:val="000000"/>
          <w:rtl w:val="1"/>
        </w:rPr>
        <w:t xml:space="preserve">فقال عُمر بن الخطاب: إذًا أَستَكثِرُ يا رسولَ الله، فقال رسول الله ﷺ: «اللهُ أَكثرُ وأَطْيبُ». </w:t>
      </w:r>
    </w:p>
    <w:p>
      <w:pPr>
        <w:bidi w:val="1"/>
        <w:jc w:val="start"/>
      </w:pPr>
      <w:r>
        <w:rPr>
          <w:rtl w:val="1"/>
        </w:rPr>
        <w:t xml:space="preserve">درجة الحديث: إسناده ضعيف  / إسناده ضعيف </w:t>
      </w:r>
    </w:p>
    <w:p>
      <w:pPr>
        <w:bidi w:val="1"/>
        <w:jc w:val="start"/>
      </w:pPr>
      <w:r>
        <w:rPr>
          <w:rtl w:val="1"/>
        </w:rPr>
        <w:t>الشرح: الدلالة: * الأذكار - الاعتقادات والعبادات والأعمال الموجبة لدخول الجنة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