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ذكر وفاته ودفنه صلى الله عليه وسلم-كتاب الجنائز-سنن ابن ماجة — رقم الحديث: 1634 — الرقم الفرعي: 99 — الرقم الأصلي: 1634</w:t>
        <w:br/>
      </w:r>
      <w:r>
        <w:rPr>
          <w:rtl w:val="1"/>
        </w:rPr>
        <w:t xml:space="preserve"> حدثنا إبراهيم بن المنذر الحزاميّ ثنا خالي، محمد بن إبراهيم بن المطّلب بن السّائب بن أبي وداعة السّهميّ حدثني موسى بن عبد الله بن أبي أميّة المخزوميّ حدثني مصعب بن عبد الله عن أمّ سلمة بنت أبي أميّة،زوج النبيّ صلى الله عليه وسلم</w:t>
        <w:br/>
      </w:r>
      <w:r>
        <w:rPr>
          <w:color w:val="000000"/>
          <w:rtl w:val="1"/>
        </w:rPr>
        <w:t xml:space="preserve">أنها قالت: كان النّاسُ في عهدِ رَسولِ الله ﷺ إذا قامَ المُصلِّي يُصلِّي لم يَعْدُ بَصرُ أَحدِهم مَوضِعَ قدَمَيه،  </w:t>
      </w:r>
      <w:r>
        <w:rPr>
          <w:color w:val="FF0000"/>
          <w:rtl w:val="1"/>
        </w:rPr>
        <w:t xml:space="preserve">فتُوفِّي رَسولُ الله ﷺ، فكان النّاسُ إذا قامَ أَحدُهم يُصلِّي لم يَعْدُ بَصرُ أَحدِهم مَوضِعَ جَبينِه،  </w:t>
      </w:r>
      <w:r>
        <w:rPr>
          <w:color w:val="FF0000"/>
          <w:rtl w:val="1"/>
        </w:rPr>
        <w:t xml:space="preserve">فتُوفِّي أبو بكر، فكان عُمرُ، فكان النّاسُ إذا قامَ أَحدُهم يُصلِّي لم يَعْدُ بَصرُ أَحدِهم مَوضِعَ القِبلة،  </w:t>
      </w:r>
      <w:r>
        <w:rPr>
          <w:color w:val="FF0000"/>
          <w:rtl w:val="1"/>
        </w:rPr>
        <w:t xml:space="preserve">وكان عثمانُ بنُ عفّان، فكانت الفِتنة، فتلفَّتَ النّاسُ يَمينًا وشِمالًا. </w:t>
      </w:r>
    </w:p>
    <w:p>
      <w:pPr>
        <w:bidi w:val="1"/>
        <w:jc w:val="start"/>
      </w:pPr>
      <w:r>
        <w:rPr>
          <w:rtl w:val="1"/>
        </w:rPr>
        <w:t xml:space="preserve">درجة الحديث: إسناده ضعيف </w:t>
      </w:r>
    </w:p>
    <w:p>
      <w:pPr>
        <w:bidi w:val="1"/>
        <w:jc w:val="start"/>
      </w:pPr>
      <w:r>
        <w:rPr>
          <w:rtl w:val="1"/>
        </w:rPr>
        <w:t>الشرح: الدلالة: المبحث الثالث: الفتن المتعلقة بالصلاة - الفتن المتعلقة بالعقائد والعبادات</w:t>
      </w:r>
    </w:p>
    <w:p>
      <w:pPr>
        <w:bidi w:val="1"/>
        <w:jc w:val="start"/>
      </w:pPr>
      <w:r>
        <w:rPr>
          <w:rtl w:val="1"/>
        </w:rPr>
        <w:t>الشرح: الدلالة: المطلب الأول: الفتنة في عهد الخلفاء عثمان وعلي وتنازل الحسن عن الخلافة - فتن الحكم في أواخر عهد الخلافة الراشدة وما بعده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