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ما جاء في الإفطار في السفر-كتاب الصيام-سنن ابن ماجة — رقم الحديث: 1666 — الرقم الفرعي: 99 — الرقم الأصلي: 1666</w:t>
        <w:br/>
      </w:r>
      <w:r>
        <w:rPr>
          <w:rtl w:val="1"/>
        </w:rPr>
        <w:t xml:space="preserve"> حدثنا إبراهيم بن المنذر الحزاميّ ثنا عبد الله بن موسى التيميّ عن أسامة بن زيد عن ابن شهاب عن أبي سلمة بن عبد الرحمن عن أبيه عبد الرحمن بن عوف قال:قال رسول الله صلى الله عليه وسلم</w:t>
        <w:br/>
      </w:r>
      <w:r>
        <w:rPr>
          <w:color w:val="FF0000"/>
          <w:rtl w:val="1"/>
        </w:rPr>
        <w:t xml:space="preserve">«صَائِمُ رَمَضانَ في السَّفَرِ كالمُفطِرِ في الحَضَرِ». </w:t>
      </w:r>
    </w:p>
    <w:p>
      <w:pPr>
        <w:bidi w:val="1"/>
        <w:jc w:val="start"/>
      </w:pPr>
      <w:r>
        <w:rPr>
          <w:rtl w:val="1"/>
        </w:rPr>
        <w:t xml:space="preserve">درجة الحديث: إسناده ضعيف </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أسلوب الموعظة الحسنة (الترغيب والترهيب)</w:t>
      </w:r>
    </w:p>
    <w:p>
      <w:pPr>
        <w:bidi w:val="1"/>
        <w:jc w:val="start"/>
      </w:pPr>
      <w:r>
        <w:rPr>
          <w:rtl w:val="1"/>
        </w:rPr>
        <w:t>الشرح: الدلالة: أسلوب ضرب المثل والتشبيه</w:t>
      </w:r>
    </w:p>
    <w:p>
      <w:pPr>
        <w:bidi w:val="1"/>
        <w:jc w:val="start"/>
      </w:pPr>
      <w:r>
        <w:rPr>
          <w:rtl w:val="1"/>
        </w:rPr>
        <w:t>الشرح: الدلالة: إسناده واه(الحديث ليس بشيء) - المقبول و المردود من الحديث</w:t>
      </w:r>
    </w:p>
    <w:p>
      <w:pPr>
        <w:bidi w:val="1"/>
        <w:jc w:val="start"/>
      </w:pPr>
      <w:r>
        <w:rPr>
          <w:rtl w:val="1"/>
        </w:rPr>
        <w:t>الشرح: الدلالة: السفر - الأعذار المبيحة للإفطار</w:t>
      </w:r>
    </w:p>
    <w:p>
      <w:pPr>
        <w:bidi w:val="1"/>
        <w:jc w:val="start"/>
      </w:pPr>
      <w:r>
        <w:rPr>
          <w:rtl w:val="1"/>
        </w:rPr>
        <w:t>الشرح: الدلالة: المنقطع - أوصاف السند من حيث الاتصال والانقطاع</w:t>
      </w:r>
    </w:p>
    <w:p>
      <w:pPr>
        <w:bidi w:val="1"/>
        <w:jc w:val="start"/>
      </w:pPr>
      <w:r>
        <w:rPr>
          <w:rtl w:val="1"/>
        </w:rPr>
        <w:t>الشرح: الدلالة: التعليم بالقصة والمثل - الأساليب التعليمية</w:t>
      </w:r>
    </w:p>
    <w:p>
      <w:pPr>
        <w:bidi w:val="1"/>
        <w:jc w:val="start"/>
      </w:pPr>
      <w:r>
        <w:rPr>
          <w:rtl w:val="1"/>
        </w:rPr>
        <w:t>الشرح: الدلالة: ضعيف.، - أقسام الرواة جرحا وتعديلا</w:t>
      </w:r>
    </w:p>
    <w:p>
      <w:pPr>
        <w:bidi w:val="1"/>
        <w:jc w:val="start"/>
      </w:pPr>
      <w:r>
        <w:rPr>
          <w:rtl w:val="1"/>
        </w:rPr>
        <w:t>الشرح: الدلالة: ضعيف لا يتقوى - أقسام الرواة جرحا وتعديلا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