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 — الرقم الفرعي: 99 — الرقم الأصلي: 5 — ج: 1 — ص: 3</w:t>
        <w:br/>
      </w:r>
      <w:r>
        <w:rPr>
          <w:rtl w:val="1"/>
        </w:rPr>
        <w:t xml:space="preserve"> حدثنا محمدُ بن جعفرٍ قال:حدثنا شُعبةُ عن يَزيدَ بنِ خُميرٍ عن سُليمِ بنِ عامرٍ عن أوسطَ</w:t>
        <w:br/>
      </w:r>
      <w:r>
        <w:rPr>
          <w:color w:val="000000"/>
          <w:rtl w:val="1"/>
        </w:rPr>
        <w:t xml:space="preserve">قَالَ: خَطبَنا أَبُو بَكْرٍ، فَقَالَ: قَامَ رَسُولُ اللهِ صَلَّى اللهُ عَلَيْهِ وَسَلَّمَ مَقَامِي هَذَا عَامَ الْأَوَّلِ، وَبَكَى أَبُو بَكْرٍ،  </w:t>
      </w:r>
      <w:r>
        <w:rPr>
          <w:color w:val="000000"/>
          <w:rtl w:val="1"/>
        </w:rPr>
        <w:t xml:space="preserve">فَقَالَ أَبُو بَكْرٍ: «سَلُوا اللهَ الْمُعَافَاةَ -أو قَالَ: الْعَافِيَةَ- فَلَمْ يُؤْتَ أَحَدٌ قَطُّ بَعْدَ الْيَقِينِ أَفْضَلَ مِنَ الْعَافِيَةِ -أو الْمُعَافَاةِ-  </w:t>
      </w:r>
      <w:r>
        <w:rPr>
          <w:color w:val="000000"/>
          <w:rtl w:val="1"/>
        </w:rPr>
        <w:t xml:space="preserve">عَلَيْكُمْ بِالصِّدْقِ فَإِنَّهُ مَعَ الْبِرِّ، وَهُمَا فِي الْجَنَّةِ، وَإِيَّاكُمْ وَالْكَذِبَ فَإِنَّهُ مَعَ الْفُجُورِ، وَهُمَا فِي النَّارِ،  </w:t>
      </w:r>
      <w:r>
        <w:rPr>
          <w:color w:val="000000"/>
          <w:rtl w:val="1"/>
        </w:rPr>
        <w:t xml:space="preserve">وَلا تَحَاسَدُوا، وَلا تَبَاغَضُوا، وَلا تَقَاطَعُوا، وَلا تَدابَرُوا، وَكُونُوا إِخْوَانًا كَما أَمَرَكُمُ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