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فضل الذكر بعد صلاة الصبح-كتاب الدعوات-سنن الترمذي — رقم الحديث: 3561 — الرقم الفرعي: 99 — الرقم الأصلي: 3557</w:t>
        <w:br/>
      </w:r>
      <w:r>
        <w:rPr>
          <w:rtl w:val="1"/>
        </w:rPr>
        <w:t xml:space="preserve"> حدثنا أحمد بن الحسن الترمذيّ أخبرنا عبد الله بن نافع الصايغ ملاحظة قراءة عليه عن حمّاد بن أبي حميد عن زيد بن أسلم عن أبيه عن عمر بن الخطاب</w:t>
        <w:br/>
      </w:r>
      <w:r>
        <w:rPr>
          <w:color w:val="FF0000"/>
          <w:rtl w:val="1"/>
        </w:rPr>
        <w:t xml:space="preserve">أنَّ النّبيَّ ﷺ بَعَثَ بَعثًا قِبَلَ نَجْدٍ، </w:t>
      </w:r>
      <w:r>
        <w:rPr>
          <w:color w:val="FF0000"/>
          <w:rtl w:val="1"/>
        </w:rPr>
        <w:t xml:space="preserve">فغَنِمُوا غَنائِمَ كَثيرةً وأَسرَعُوا الرَّجْعة، </w:t>
      </w:r>
      <w:r>
        <w:rPr>
          <w:color w:val="FF0000"/>
          <w:rtl w:val="1"/>
        </w:rPr>
        <w:t xml:space="preserve">فقالَ رَجلٌ ممَّن لم يَخرُج، ما رَأَينا بَعثًا أَسرَعَ رَجعةً ولا أَفضلَ غَنيمةً مِن هذا البَعْث. </w:t>
      </w:r>
      <w:r>
        <w:rPr>
          <w:color w:val="FF0000"/>
          <w:rtl w:val="1"/>
        </w:rPr>
        <w:t xml:space="preserve">فقالَ النّبيُّ ﷺ: «ألا أَدلُّكُم على قومٍ أَفضَلَ غَنيمةً وأَسرَعَ رَجعَة؟ </w:t>
      </w:r>
      <w:r>
        <w:rPr>
          <w:color w:val="FF0000"/>
          <w:rtl w:val="1"/>
        </w:rPr>
        <w:t xml:space="preserve">قومٌ شَهِدُوا صلاةَ الصُّبحِ ثم جَلَسُوا يَذكُرونَ اللهَ حتى طَلَعتِ الشَّمس، </w:t>
      </w:r>
      <w:r>
        <w:rPr>
          <w:color w:val="FF0000"/>
          <w:rtl w:val="1"/>
        </w:rPr>
        <w:t xml:space="preserve">فأُولئِكَ أَسرَعُ رَجعةً وأَفضَلُ غَنيمةً». </w:t>
      </w:r>
      <w:r>
        <w:rPr>
          <w:color w:val="FF0000"/>
          <w:rtl w:val="1"/>
        </w:rPr>
        <w:t xml:space="preserve">وهذا حديثٌ غَريب، لا نَعرِفُه إلّا مِن هذا الوَجْه. </w:t>
      </w:r>
      <w:r>
        <w:rPr>
          <w:color w:val="FF0000"/>
          <w:rtl w:val="1"/>
        </w:rPr>
        <w:t xml:space="preserve">وحمّادُ بنُ أَبي حُميدٍ: هو محمّدُ بنُ أَبي حُمَيد، وهو أَبو إبراهيمَ الأَنصاريّ المَدِينيّ، وهو ضَعيفٌ في الحديث.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الذكر والدعاء عند شروق الشمس وزوالها وغروبها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صلاة الفجر والمحافظة عليها - صلاة الفجر</w:t>
      </w:r>
    </w:p>
    <w:p>
      <w:pPr>
        <w:bidi w:val="1"/>
        <w:jc w:val="start"/>
      </w:pPr>
      <w:r>
        <w:rPr>
          <w:rtl w:val="1"/>
        </w:rPr>
        <w:t>الشرح: الدلالة: الذكر والدعاء بعد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العرض - طرق تحمل الحديث</w:t>
      </w:r>
    </w:p>
    <w:p>
      <w:pPr>
        <w:bidi w:val="1"/>
        <w:jc w:val="start"/>
      </w:pPr>
      <w:r>
        <w:rPr>
          <w:rtl w:val="1"/>
        </w:rPr>
        <w:t>الشرح: الدلالة: الصلاة من أفضل الأعمال - فضائل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