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الرجل يتزوج المرأة فيجدها حبلى-كتاب النكاح-سنن أبي داود — رقم الحديث: 2131 — الرقم الفرعي: 99 — الرقم الأصلي: 2131</w:t>
        <w:br/>
      </w:r>
      <w:r>
        <w:rPr>
          <w:rtl w:val="1"/>
        </w:rPr>
        <w:t xml:space="preserve"> حدثنا مخلد بن خالد و الحسن بن عليّ و محمد بن أبي السريّ ملاحظة المعنى قالوا:ثنا عبد الرزاق أخبرنا ابن جريج عن صفوان بن سليم عن سعيد بن المسيب عن رجُل من الأنصار قال ابن أبي السريّ ملاحظة من أصحاب النبيّ صلى الله عليه وسلم،ولم يقل من الأنصار،ثم اتفقوا:يقال له بصرة،</w:t>
        <w:br/>
      </w:r>
      <w:r>
        <w:rPr>
          <w:color w:val="000000"/>
          <w:rtl w:val="1"/>
        </w:rPr>
        <w:t xml:space="preserve">عن رجل مِن الأنصارِ  </w:t>
      </w:r>
      <w:r>
        <w:rPr>
          <w:color w:val="000000"/>
          <w:rtl w:val="1"/>
        </w:rPr>
        <w:t xml:space="preserve">- قال ابنُ أبي السَّريِّ: من أَصحابِ النّبيِّ ﷺ، ولم يقل: مِن الأَنصار،  </w:t>
      </w:r>
      <w:r>
        <w:rPr>
          <w:color w:val="000000"/>
          <w:rtl w:val="1"/>
        </w:rPr>
        <w:t xml:space="preserve">ثم اتَّفقوا - يقالُ له بَصْرَةُ،  </w:t>
      </w:r>
      <w:r>
        <w:rPr>
          <w:color w:val="FF0000"/>
          <w:rtl w:val="1"/>
        </w:rPr>
        <w:t xml:space="preserve">قال: تزوَّجتُ امرأةً بِكرًا في سِتْرها، فدَخلتُ عليها، فإذا هي حُبْلَى،  </w:t>
      </w:r>
      <w:r>
        <w:rPr>
          <w:color w:val="FF0000"/>
          <w:rtl w:val="1"/>
        </w:rPr>
        <w:t xml:space="preserve">فقالَ النّبيُّ ﷺ: «لها الصَّداقُ بما استَحلَلْتَ مِن فَرْجِها،  </w:t>
      </w:r>
      <w:r>
        <w:rPr>
          <w:color w:val="FF0000"/>
          <w:rtl w:val="1"/>
        </w:rPr>
        <w:t xml:space="preserve">والولدُ عبدٌ لك،  </w:t>
      </w:r>
      <w:r>
        <w:rPr>
          <w:color w:val="000000"/>
          <w:rtl w:val="1"/>
        </w:rPr>
        <w:t xml:space="preserve">فإذا وَلَدَت» - قال الحسنُ : «فاجلِدُوها»، وقال ابنُ أَبي السَّريّ: «فاجلِدُوهَا» أو قال: «فحُدُّوها». </w:t>
      </w:r>
      <w:r>
        <w:rPr>
          <w:color w:val="000000"/>
          <w:rtl w:val="1"/>
        </w:rPr>
        <w:t xml:space="preserve">قال أبو داود: رَوى هذا الحديثَ قتادةُ، عن سعيد بنِ يزيدَ، عن ابنِ المسيّب.  </w:t>
      </w:r>
      <w:r>
        <w:rPr>
          <w:color w:val="000000"/>
          <w:rtl w:val="1"/>
        </w:rPr>
        <w:t xml:space="preserve">ورواه يحيي بنُ أَبي كَثير، عن يزيدَ بنِ نُعيم، عن سعيد بنِ المسيّب، وعطاءٌ الخُراساني عن سعيد بنِ المسيّب، أَرسلوه،  </w:t>
      </w:r>
      <w:r>
        <w:rPr>
          <w:color w:val="000000"/>
          <w:rtl w:val="1"/>
        </w:rPr>
        <w:t xml:space="preserve">وفي حديثِ يحيى بنِ أَبي كَثير أنَّ بَصْرةَ بنَ أَكثَمَ نكَحَ امرأةً، وكُلُّهم قال في حَدِيثه: جعلَ الولدَ عبدًا له. </w:t>
      </w:r>
    </w:p>
    <w:p>
      <w:pPr>
        <w:bidi w:val="1"/>
        <w:jc w:val="start"/>
      </w:pPr>
      <w:r>
        <w:rPr>
          <w:rtl w:val="1"/>
        </w:rPr>
        <w:t xml:space="preserve">درجة الحديث: إسناده ضعيف </w:t>
      </w:r>
    </w:p>
    <w:p>
      <w:pPr>
        <w:bidi w:val="1"/>
        <w:jc w:val="start"/>
      </w:pPr>
      <w:r>
        <w:rPr>
          <w:rtl w:val="1"/>
        </w:rPr>
        <w:t>الشرح: الدلالة: أحرار وعبيد - خصائص السكان</w:t>
      </w:r>
    </w:p>
    <w:p>
      <w:pPr>
        <w:bidi w:val="1"/>
        <w:jc w:val="start"/>
      </w:pPr>
      <w:r>
        <w:rPr>
          <w:rtl w:val="1"/>
        </w:rPr>
        <w:t>الشرح: الدلالة: الزنا و مقدماته - القيم والأخلاق المذمومة</w:t>
      </w:r>
    </w:p>
    <w:p>
      <w:pPr>
        <w:bidi w:val="1"/>
        <w:jc w:val="start"/>
      </w:pPr>
      <w:r>
        <w:rPr>
          <w:rtl w:val="1"/>
        </w:rPr>
        <w:t>الشرح: الدلالة: التفريق لثبوت الزنا - التفريق عن طريق الشرع (بعد ثبوت العقد الصحيح)</w:t>
      </w:r>
    </w:p>
    <w:p>
      <w:pPr>
        <w:bidi w:val="1"/>
        <w:jc w:val="start"/>
      </w:pPr>
      <w:r>
        <w:rPr>
          <w:rtl w:val="1"/>
        </w:rPr>
        <w:t>الشرح: الدلالة: ثبوت جريمة الزنا بالقرائن (الحبل) - ثبوت جريمة الزنا</w:t>
      </w:r>
    </w:p>
    <w:p>
      <w:pPr>
        <w:bidi w:val="1"/>
        <w:jc w:val="start"/>
      </w:pPr>
      <w:r>
        <w:rPr>
          <w:rtl w:val="1"/>
        </w:rPr>
        <w:t>الشرح: الدلالة: عقوبة غير المحصن - عقوبة الزنا</w:t>
      </w:r>
    </w:p>
    <w:p>
      <w:pPr>
        <w:bidi w:val="1"/>
        <w:jc w:val="start"/>
      </w:pPr>
      <w:r>
        <w:rPr>
          <w:rtl w:val="1"/>
        </w:rPr>
        <w:t>الشرح: الدلالة: تأجيل العقوبة في الزنا - عقوبة الزنا</w:t>
      </w:r>
    </w:p>
    <w:p>
      <w:pPr>
        <w:bidi w:val="1"/>
        <w:jc w:val="start"/>
      </w:pPr>
      <w:r>
        <w:rPr>
          <w:rtl w:val="1"/>
        </w:rPr>
        <w:t>الشرح: الدلالة: المرسل - أوصاف السند من حيث الاتصال والانقطاع</w:t>
      </w:r>
    </w:p>
    <w:p>
      <w:pPr>
        <w:bidi w:val="1"/>
        <w:jc w:val="start"/>
      </w:pPr>
      <w:r>
        <w:rPr>
          <w:rtl w:val="1"/>
        </w:rPr>
        <w:t>الشرح: الدلالة: مشروعية المهر - المهر</w:t>
      </w:r>
    </w:p>
    <w:p>
      <w:pPr>
        <w:bidi w:val="1"/>
        <w:jc w:val="start"/>
      </w:pPr>
      <w:r>
        <w:rPr>
          <w:rtl w:val="1"/>
        </w:rPr>
        <w:t>الشرح: الدلالة: القوانين والأحكام (الحدود والقصاص والتعزير) - الضبط الاجتماعي</w:t>
      </w:r>
    </w:p>
    <w:p>
      <w:pPr>
        <w:bidi w:val="1"/>
        <w:jc w:val="start"/>
      </w:pPr>
      <w:r>
        <w:rPr>
          <w:rtl w:val="1"/>
        </w:rPr>
        <w:t>الشرح: الدلالة: الحاجات الجسمية (الشراب والطعام والصحة..)- حاجات المتعلمين</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الرواية بالمعنى - أداء الحديث</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