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الرخصة في البكاء على الميّت-كتاب الجنائز-سنن الترمذي — رقم الحديث: 1005 — الرقم الفرعي: 99 — الرقم الأصلي: 1005</w:t>
        <w:br/>
      </w:r>
      <w:r>
        <w:rPr>
          <w:rtl w:val="1"/>
        </w:rPr>
        <w:t xml:space="preserve"> حدثنا عليّ بن خَشْرَم أخبرنا عيسى بن يونس عن ابن أبي ليلى عن عطاء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أَخذَ النّبيُّ ﷺ بيَدَ عبدِ الرَّحمنِ بنِ عوف،  </w:t>
      </w:r>
      <w:r>
        <w:rPr>
          <w:color w:val="FF0000"/>
          <w:rtl w:val="1"/>
        </w:rPr>
        <w:t xml:space="preserve">فانطَلَقَ به إلى ابنِه إبراهيمَ، فوَجَدَه يَجودُ بنَفْسِه، فأَخذَه النّبيُّ ﷺ فوَضَعَه في حِجْرِه فبَكَى،  </w:t>
      </w:r>
      <w:r>
        <w:rPr>
          <w:color w:val="000000"/>
          <w:rtl w:val="1"/>
        </w:rPr>
        <w:t xml:space="preserve">فقالَ له عبدُ الرّحمن: أَتبكِي؟ أوَلَمْ تكُنْ نَهَيتَ عن البُكاء؟  </w:t>
      </w:r>
      <w:r>
        <w:rPr>
          <w:color w:val="000000"/>
          <w:rtl w:val="1"/>
        </w:rPr>
        <w:t xml:space="preserve">قال: «لا، ولكن نَهَيتُ عن صَوتَينِ أَحمَقَينِ فاجِرَين: صَوتٍ عندَ مُصِيبةٍ، خَمْشِ وُجوهٍ، وشَقِّ جُيوبٍ، ورَنّةِ شَيطان». </w:t>
      </w:r>
      <w:r>
        <w:rPr>
          <w:color w:val="000000"/>
          <w:rtl w:val="1"/>
        </w:rPr>
        <w:t xml:space="preserve">وفي الحديثِ كلامٌ أَكثرُ من هذا. </w:t>
      </w:r>
      <w:r>
        <w:rPr>
          <w:color w:val="000000"/>
          <w:rtl w:val="1"/>
        </w:rPr>
        <w:t xml:space="preserve">هذا حديثٌ حسَن.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ذكر أسماء أبناء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شفقته ﷺ على أهل بيته وأقربائه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