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جاء في النهي عن ضرب الخدود وشقّ الجيوب-كتاب الجنائز-سنن ابن ماجة — رقم الحديث: 1585 — الرقم الفرعي: 99 — الرقم الأصلي: 1585</w:t>
        <w:br/>
      </w:r>
      <w:r>
        <w:rPr>
          <w:rtl w:val="1"/>
        </w:rPr>
        <w:t xml:space="preserve"> حدثنا محمد بن جابر المحاربيّ و محمد بن كرامة قالا:ثنا أبو أسامة عن عبد الرحمن بن يزيد بن جابر عن مكحول و القاسم عن أبي أمامة</w:t>
        <w:br/>
      </w:r>
      <w:r>
        <w:rPr>
          <w:color w:val="FF0000"/>
          <w:rtl w:val="1"/>
        </w:rPr>
        <w:t xml:space="preserve">أنَّ رسولَ الله ﷺ  </w:t>
      </w:r>
      <w:r>
        <w:rPr>
          <w:color w:val="FF0000"/>
          <w:rtl w:val="1"/>
        </w:rPr>
        <w:t xml:space="preserve">لَعَنَ الخامِشةَ وَجهَها، والشَّاقَّةَ جَيبَها، والدَّاعيةَ بالوَيلِ والثُّبور.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تحريم النياحة وشق الجيوب - الموت</w:t>
      </w:r>
    </w:p>
    <w:p>
      <w:pPr>
        <w:bidi w:val="1"/>
        <w:jc w:val="start"/>
      </w:pPr>
      <w:r>
        <w:rPr>
          <w:rtl w:val="1"/>
        </w:rPr>
        <w:t>الشرح: الدلالة: الصحيح</w:t>
      </w:r>
    </w:p>
    <w:p>
      <w:pPr>
        <w:bidi w:val="1"/>
        <w:jc w:val="start"/>
      </w:pPr>
      <w:r>
        <w:rPr>
          <w:rtl w:val="1"/>
        </w:rPr>
        <w:t>الشرح: الدلالة: مراتب الكبائر - الكبائر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قيمة حرمة النِّياحة ونحوها - قيم ضبط الانفعالات والعواطف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