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الرجل ينام عن الوتر أو ينساه-أبواب الصلاة-سنن الترمذي — رقم الحديث: 466 — الرقم الفرعي: 99 — الرقم الأصلي: 466</w:t>
        <w:br/>
      </w:r>
      <w:r>
        <w:rPr>
          <w:rtl w:val="1"/>
        </w:rPr>
        <w:t xml:space="preserve"> حدثنا قتيبة حدثنا عبد الله بن زيد بن أسلم عن أبيه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نامَ عن وِتْرِه فليُصَلِّ إذا أَصبَح». </w:t>
      </w:r>
      <w:r>
        <w:rPr>
          <w:color w:val="000000"/>
          <w:rtl w:val="1"/>
        </w:rPr>
        <w:t xml:space="preserve">وهذا أَصحُّ من الحديثِ الأوّل. </w:t>
      </w:r>
      <w:r>
        <w:rPr>
          <w:color w:val="000000"/>
          <w:rtl w:val="1"/>
        </w:rPr>
        <w:t xml:space="preserve">سَمِعتُ أبا داودَ السِّجْزيَّ، يعني سُليمانَ بنَ الأَشعَثِ، يقول: سألتُ أَحمدَ بنَ حنبلٍ، عن عبدِ الرَّحمن بنِ زيدِ بن أَسلَم، فقال: أَخوه عبدُ الله لا بأسَ به. </w:t>
      </w:r>
      <w:r>
        <w:rPr>
          <w:color w:val="000000"/>
          <w:rtl w:val="1"/>
        </w:rPr>
        <w:t xml:space="preserve">وسَمِعتُ محمّدًا يَذكُرُ عن عليِّ بن عبدِ الله، أنّه ضَعَّفَ عبدَ الرَّحمن بنَ زيدِ بنِ أَسلَمَ، وقال: عبدُ الله بنُ زيد بنِ أَسلَم ثِقة. </w:t>
      </w:r>
      <w:r>
        <w:rPr>
          <w:color w:val="000000"/>
          <w:rtl w:val="1"/>
        </w:rPr>
        <w:t xml:space="preserve">وقد ذَهبَ بعضُ أَهلِ الكُوفةِ إلى هذا الحديثِ، وقالوا: يُوتِرُ الرَّجلُ إذا ذَكرَ، وإن كان بعدَ ما طَلعَت الشَّمس. وبه يقولُ سفيانُ الثوري.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قضاء الوتر - صلاة الوتر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