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المحافظة على الصلوات حيث ينادى بهنّ-كتاب الإمامة-سنن النسائي — رقم الحديث: 849 — الرقم الفرعي: 99 — الرقم الأصلي: 849</w:t>
        <w:br/>
      </w:r>
      <w:r>
        <w:rPr>
          <w:rtl w:val="1"/>
        </w:rPr>
        <w:t xml:space="preserve"> أخبرنا سويد بن نصر قال:أنبأنا عبد الله بن المبارك عن المسعوديّ عن عليّ بن الأقمر عن أبي الأحوص عن عبد الله</w:t>
        <w:br/>
      </w:r>
      <w:r>
        <w:rPr>
          <w:color w:val="000000"/>
          <w:rtl w:val="1"/>
        </w:rPr>
        <w:t xml:space="preserve">أنه كانَ يقول:  </w:t>
      </w:r>
      <w:r>
        <w:rPr>
          <w:color w:val="000000"/>
          <w:rtl w:val="1"/>
        </w:rPr>
        <w:t xml:space="preserve">مَن سَرّهُ أن يَلقَى اللهَ عزَّ وجلَّ غدًا مُسلِمًا فليُحافِظ على هؤلاءِ الصَّلَواتِ الخَمْس حيثُ يُنادَى بهِنَّ،  </w:t>
      </w:r>
      <w:r>
        <w:rPr>
          <w:color w:val="000000"/>
          <w:rtl w:val="1"/>
        </w:rPr>
        <w:t xml:space="preserve">فإنَّ اللهَ عزَّ وجلَّ شَرَعَ لنبيِّه ﷺ سُننَ الهُدى، وإنَّهنَّ مِن سُننِ الهُدى،  </w:t>
      </w:r>
      <w:r>
        <w:rPr>
          <w:color w:val="000000"/>
          <w:rtl w:val="1"/>
        </w:rPr>
        <w:t xml:space="preserve">وإني لا أَحسَبُ منكم أحدًا إلّا له مسجدٌ يُصلِّي فيه في بَيتِه،  </w:t>
      </w:r>
      <w:r>
        <w:rPr>
          <w:color w:val="000000"/>
          <w:rtl w:val="1"/>
        </w:rPr>
        <w:t xml:space="preserve">فلو صلَّيتُم في بُيوتِكم، وتَركتُم مساجدَكم، لتركتُم سُنَّةَ نبيِّكم،  </w:t>
      </w:r>
      <w:r>
        <w:rPr>
          <w:color w:val="000000"/>
          <w:rtl w:val="1"/>
        </w:rPr>
        <w:t xml:space="preserve">ولو تَركتُم سُنَّةَ نبيِّكم لضَلَلْتم،  </w:t>
      </w:r>
      <w:r>
        <w:rPr>
          <w:color w:val="FF0000"/>
          <w:rtl w:val="1"/>
        </w:rPr>
        <w:t xml:space="preserve">وما من عبدٍ مُسلمٍ يَتوضّأُ فيُحسِنُ الوضوء،  </w:t>
      </w:r>
      <w:r>
        <w:rPr>
          <w:color w:val="FF0000"/>
          <w:rtl w:val="1"/>
        </w:rPr>
        <w:t xml:space="preserve">ثم يَمشِي إلى صلاةٍ،  </w:t>
      </w:r>
      <w:r>
        <w:rPr>
          <w:color w:val="000000"/>
          <w:rtl w:val="1"/>
        </w:rPr>
        <w:t xml:space="preserve">إلّا كَتبَ اللهُ عزّ وجلّ له بكُلِّ خُطوةٍ يَخطُوها حسنةً،  </w:t>
      </w:r>
      <w:r>
        <w:rPr>
          <w:color w:val="000000"/>
          <w:rtl w:val="1"/>
        </w:rPr>
        <w:t xml:space="preserve">أو يَرفعُ له بها درَجَة، أو يُكفِّرُ عنه بها خَطِيئة،  </w:t>
      </w:r>
      <w:r>
        <w:rPr>
          <w:color w:val="000000"/>
          <w:rtl w:val="1"/>
        </w:rPr>
        <w:t xml:space="preserve">ولقد رأيتُنا نُقارِبُ بين الخُطا،  </w:t>
      </w:r>
      <w:r>
        <w:rPr>
          <w:color w:val="000000"/>
          <w:rtl w:val="1"/>
        </w:rPr>
        <w:t xml:space="preserve">ولقد رَأيتُنا وما يَتخلَّفُ عنها إلّا مُنافقٌ معلومٌ نِفاقُه،  </w:t>
      </w:r>
      <w:r>
        <w:rPr>
          <w:color w:val="000000"/>
          <w:rtl w:val="1"/>
        </w:rPr>
        <w:t xml:space="preserve">ولقد رأيتُ الرَّجلَ يُهادَى بين الرَّجُلين حتى يُقامَ في الصَّف.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الوضوء للصلاة - ما يشرع له الوضوء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