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تُحدّ المتوفّي عنها زوجها أربعة أشهرٍ وعشرا-كتاب الطلاق-صحيح البخاري — رقم الحديث: 5334 — الرقم الفرعي: 99 — الرقم الأصلي: 5334</w:t>
        <w:br/>
      </w:r>
      <w:r>
        <w:rPr>
          <w:rtl w:val="1"/>
        </w:rPr>
        <w:t xml:space="preserve"> موصول بالإسناد السابق.</w:t>
        <w:br/>
      </w:r>
      <w:r>
        <w:rPr>
          <w:color w:val="000000"/>
          <w:rtl w:val="1"/>
        </w:rPr>
        <w:t xml:space="preserve">قالت زينبُ: دَخَلْتُ على أمِّ حَبِيبةَ زوجِ النبيِّ ﷺ حينَ تُوُفِّيَ أبوها أبو سفيانَ بنُ حَرْبٍ،  </w:t>
      </w:r>
      <w:r>
        <w:rPr>
          <w:color w:val="000000"/>
          <w:rtl w:val="1"/>
        </w:rPr>
        <w:t xml:space="preserve">فدَعَتْ أمُّ حَبِيبةَ بطِيبٍ فيه صُفْرةٌ، خَلُوقٌ أو غيرُه، فدَهَنَتْ منه جاريةً، ثمَّ مَسَّتْ بعارضَيها،  </w:t>
      </w:r>
      <w:r>
        <w:rPr>
          <w:color w:val="000000"/>
          <w:rtl w:val="1"/>
        </w:rPr>
        <w:t xml:space="preserve">ثمَّ قالت: والله ما لي بالطِّيبِ من حاجةٍ،  </w:t>
      </w:r>
      <w:r>
        <w:rPr>
          <w:color w:val="000000"/>
          <w:rtl w:val="1"/>
        </w:rPr>
        <w:t xml:space="preserve">غيرَ أنّي سمعتُ رسولَ الله ﷺ يقولُ:  </w:t>
      </w:r>
      <w:r>
        <w:rPr>
          <w:color w:val="000000"/>
          <w:rtl w:val="1"/>
        </w:rPr>
        <w:t xml:space="preserve">«لا يَحِلُّ لامرأةٍ تُؤْمِنُ بالله واليومِ الآخرِ أنْ تُحِدَّ على مَيِّتٍ فوقَ ثلاثِ ليالٍ،  </w:t>
      </w:r>
      <w:r>
        <w:rPr>
          <w:color w:val="FF0000"/>
          <w:rtl w:val="1"/>
        </w:rPr>
        <w:t xml:space="preserve">إلَّا على زوجٍ أربعةَ أشهُرٍ وعَشْرًا». 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