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14787 — الرقم الفرعي: 99 — الرقم الأصلي: 14787</w:t>
        <w:br/>
      </w:r>
      <w:r>
        <w:rPr>
          <w:rtl w:val="1"/>
        </w:rPr>
        <w:t xml:space="preserve"> حدثنا عبد الله حدثني أبي حدثنا عبد الصمد و عفّان قالا:حدثنا حمّاد ملاحظة قال عفّان في حديثه أنا أبو الزبير ملاحظة وقال عبد الصمد في حديثه حدثنا أبو الزبير عن جابر بن عبد الله أنّ رسول الله صلى الله عليه وسلم</w:t>
        <w:br/>
      </w:r>
      <w:r>
        <w:rPr>
          <w:color w:val="FF0000"/>
          <w:rtl w:val="1"/>
        </w:rPr>
        <w:t xml:space="preserve">قال: «رأيتُ كأنِّي في دِرعٍ حَصِينَة، ورأيتُ بقَرًا مُنحَّرةً، فأَوّلتُ أنَّ الدِّرعَ الحَصِينةَ المَدينةُ، وأنَّ البَقرَ نَفَرٌ، واللهُ خيرٌ»  </w:t>
      </w:r>
      <w:r>
        <w:rPr>
          <w:color w:val="FF0000"/>
          <w:rtl w:val="1"/>
        </w:rPr>
        <w:t xml:space="preserve">قال: فقالَ لأَصحابِه: «لو أنّا أَقمْنا بالمَدينة، فإن دَخلُوا علَينا فيها قاتَلْناهم» فقالوا: يا رسولَ الله، واللهِ ما دُخِلَ علَينا فيها في الجاهليّة، فكيفَ يُدخَلُ علينا فيها في الإسلام؟  </w:t>
      </w:r>
      <w:r>
        <w:rPr>
          <w:color w:val="FF0000"/>
          <w:rtl w:val="1"/>
        </w:rPr>
        <w:t xml:space="preserve">- قال عفَّانُ في حديثِه: فقال: «شأنَكُم إذًا» - قال: فلَبِسَ لَأْمتَه،  </w:t>
      </w:r>
      <w:r>
        <w:rPr>
          <w:color w:val="FF0000"/>
          <w:rtl w:val="1"/>
        </w:rPr>
        <w:t xml:space="preserve">قال: فقالت الأَنصار: رَدَدْنا على رسولِ الله ﷺ رَأيَه، فجاؤوا، فقالوا: يا نبيَّ الله، شأنَك إذًا،  </w:t>
      </w:r>
      <w:r>
        <w:rPr>
          <w:color w:val="FF0000"/>
          <w:rtl w:val="1"/>
        </w:rPr>
        <w:t xml:space="preserve">فقال: «إنّه ليسَ لنبيٍّ إذا لَبِسَ لَأْمتَه أن يضَعَها حتى يُقاتِل». </w:t>
      </w:r>
    </w:p>
    <w:p>
      <w:pPr>
        <w:bidi w:val="1"/>
        <w:jc w:val="start"/>
      </w:pPr>
      <w:r>
        <w:rPr>
          <w:rtl w:val="1"/>
        </w:rPr>
        <w:t>درجة الحديث: صحيح لغيره / صحيح لغيره</w:t>
      </w:r>
    </w:p>
    <w:p>
      <w:pPr>
        <w:bidi w:val="1"/>
        <w:jc w:val="start"/>
      </w:pPr>
      <w:r>
        <w:rPr>
          <w:rtl w:val="1"/>
        </w:rPr>
        <w:t>الشرح: الدلالة: رؤيا الأنبياء - علاقة الرؤيا بالنبوة</w:t>
      </w:r>
    </w:p>
    <w:p>
      <w:pPr>
        <w:bidi w:val="1"/>
        <w:jc w:val="start"/>
      </w:pPr>
      <w:r>
        <w:rPr>
          <w:rtl w:val="1"/>
        </w:rPr>
        <w:t>الشرح: الدلالة: مشاورة النبي صلى الله عليه وسلم أصحابه في أحد - غزوة أحد</w:t>
      </w:r>
    </w:p>
    <w:p>
      <w:pPr>
        <w:bidi w:val="1"/>
        <w:jc w:val="start"/>
      </w:pPr>
      <w:r>
        <w:rPr>
          <w:rtl w:val="1"/>
        </w:rPr>
        <w:t>الشرح: الدلالة: رؤيا النبي صلى الله عليه وسلم في أحد - غزوة أحد</w:t>
      </w:r>
    </w:p>
    <w:p>
      <w:pPr>
        <w:bidi w:val="1"/>
        <w:jc w:val="start"/>
      </w:pPr>
      <w:r>
        <w:rPr>
          <w:rtl w:val="1"/>
        </w:rPr>
        <w:t>الشرح: الدلالة: اللباس العسكري - الإشارات والرموز العسكرية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