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الأخذ في السنّة واجتناب البدع-كتاب العلم-سنن الترمذي — رقم الحديث: 2677 — الرقم الفرعي: 99 — الرقم الأصلي: 2679</w:t>
        <w:br/>
      </w:r>
      <w:r>
        <w:rPr>
          <w:rtl w:val="1"/>
        </w:rPr>
        <w:t xml:space="preserve"> حدثنا عبد الله بن عبد الرحمن أخبرنا محمد بن عيينة عن مروان بن معاوية الفزاريّ عن كثير بن عبد الله ملاحظة هو ابن عمرو بن عوف المزنيّ عن أبيه عن جدّه</w:t>
        <w:br/>
      </w:r>
      <w:r>
        <w:rPr>
          <w:color w:val="000000"/>
          <w:rtl w:val="1"/>
        </w:rPr>
        <w:t xml:space="preserve">أنَّ النّبيَّ ﷺ قال لِبلالِ بنِ الحارث: «اعلَمْ»  </w:t>
      </w:r>
      <w:r>
        <w:rPr>
          <w:color w:val="000000"/>
          <w:rtl w:val="1"/>
        </w:rPr>
        <w:t xml:space="preserve">قال: ما أَعلَمُ يا رسولَ الله؟  </w:t>
      </w:r>
      <w:r>
        <w:rPr>
          <w:color w:val="000000"/>
          <w:rtl w:val="1"/>
        </w:rPr>
        <w:t xml:space="preserve">قال: «أنّه مَن أَحيا سُنّةً من سُنَّتي قد أُميتَتْ بعدِي، كانَ له مِن الأَجرِ مثلُ مَن عمِلَ بها من غيرِ أن يَنقُصَ من أُجورِهم شيئًا،  </w:t>
      </w:r>
      <w:r>
        <w:rPr>
          <w:color w:val="FF0000"/>
          <w:rtl w:val="1"/>
        </w:rPr>
        <w:t xml:space="preserve">ومَن ابتَدَعَ بِدعةَ ضَلالةٍ لا يَرضاها اللهُ ورسولُه، كان عليه مثلُ آثامِ مَن عمِلَ بها، لا يَنقُصُ ذلك من أَوزارِ النّاس شيئًا».  </w:t>
      </w:r>
      <w:r>
        <w:rPr>
          <w:color w:val="000000"/>
          <w:rtl w:val="1"/>
        </w:rPr>
        <w:t xml:space="preserve">هذا حديثٌ حسن.  </w:t>
      </w:r>
      <w:r>
        <w:rPr>
          <w:color w:val="000000"/>
          <w:rtl w:val="1"/>
        </w:rPr>
        <w:t xml:space="preserve">ومحمّدُ بنُ عُيينةَ هذا: هو مِصِّيصيٌّ شاميٌّ،  </w:t>
      </w:r>
      <w:r>
        <w:rPr>
          <w:color w:val="000000"/>
          <w:rtl w:val="1"/>
        </w:rPr>
        <w:t xml:space="preserve">وكَثيرُ بنُ عبد الله: هو ابن عَمرو بن عَوفٍ المزنيُّ. </w:t>
      </w:r>
    </w:p>
    <w:p>
      <w:pPr>
        <w:bidi w:val="1"/>
        <w:jc w:val="start"/>
      </w:pPr>
      <w:r>
        <w:rPr>
          <w:rtl w:val="1"/>
        </w:rPr>
        <w:t xml:space="preserve">درجة الحديث: إسناده ضعيف </w:t>
      </w:r>
    </w:p>
    <w:p>
      <w:pPr>
        <w:bidi w:val="1"/>
        <w:jc w:val="start"/>
      </w:pPr>
      <w:r>
        <w:rPr>
          <w:rtl w:val="1"/>
        </w:rPr>
        <w:t>الشرح: الدلالة: فضل الداعي وأجره</w:t>
      </w:r>
    </w:p>
    <w:p>
      <w:pPr>
        <w:bidi w:val="1"/>
        <w:jc w:val="start"/>
      </w:pPr>
      <w:r>
        <w:rPr>
          <w:rtl w:val="1"/>
        </w:rPr>
        <w:t>الشرح: الدلالة: العوائق الفكرية</w:t>
      </w:r>
    </w:p>
    <w:p>
      <w:pPr>
        <w:bidi w:val="1"/>
        <w:jc w:val="start"/>
      </w:pPr>
      <w:r>
        <w:rPr>
          <w:rtl w:val="1"/>
        </w:rPr>
        <w:t>الشرح: الدلالة: العوائق المادية</w:t>
      </w:r>
    </w:p>
    <w:p>
      <w:pPr>
        <w:bidi w:val="1"/>
        <w:jc w:val="start"/>
      </w:pPr>
      <w:r>
        <w:rPr>
          <w:rtl w:val="1"/>
        </w:rPr>
        <w:t>الشرح: الدلالة: مراتب الطاعات - الطاعات</w:t>
      </w:r>
    </w:p>
    <w:p>
      <w:pPr>
        <w:bidi w:val="1"/>
        <w:jc w:val="start"/>
      </w:pPr>
      <w:r>
        <w:rPr>
          <w:rtl w:val="1"/>
        </w:rPr>
        <w:t xml:space="preserve">الشرح: الدلالة: عقوبة من خالفه أو كذبه ﷺ - التحذير من مخالفة أمره ﷺ والكذب عليه ... </w:t>
      </w:r>
    </w:p>
    <w:p>
      <w:pPr>
        <w:bidi w:val="1"/>
        <w:jc w:val="start"/>
      </w:pPr>
      <w:r>
        <w:rPr>
          <w:rtl w:val="1"/>
        </w:rPr>
        <w:t>الشرح: الدلالة: البدعة - القيم والأخلاق المذمومة</w:t>
      </w:r>
    </w:p>
    <w:p>
      <w:pPr>
        <w:bidi w:val="1"/>
        <w:jc w:val="start"/>
      </w:pPr>
      <w:r>
        <w:rPr>
          <w:rtl w:val="1"/>
        </w:rPr>
        <w:t>الشرح: الدلالة: مكانة الدعوة وفضلها</w:t>
      </w:r>
    </w:p>
    <w:p>
      <w:pPr>
        <w:bidi w:val="1"/>
        <w:jc w:val="start"/>
      </w:pPr>
      <w:r>
        <w:rPr>
          <w:rtl w:val="1"/>
        </w:rPr>
        <w:t>الشرح: الدلالة: البدع والخرافات والموروثات الفكرية الباطلة</w:t>
      </w:r>
    </w:p>
    <w:p>
      <w:pPr>
        <w:bidi w:val="1"/>
        <w:jc w:val="start"/>
      </w:pPr>
      <w:r>
        <w:rPr>
          <w:rtl w:val="1"/>
        </w:rPr>
        <w:t>الشرح: الدلالة: السنة السيئة</w:t>
      </w:r>
    </w:p>
    <w:p>
      <w:pPr>
        <w:bidi w:val="1"/>
        <w:jc w:val="start"/>
      </w:pPr>
      <w:r>
        <w:rPr>
          <w:rtl w:val="1"/>
        </w:rPr>
        <w:t>الشرح: الدلالة: الدعوة إلى الله تعالى وإعلاء كلمته - الأهداف العامة للتربية و التعليم</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التربية المستمرة - المباديء</w:t>
      </w:r>
    </w:p>
    <w:p>
      <w:pPr>
        <w:bidi w:val="1"/>
        <w:jc w:val="start"/>
      </w:pPr>
      <w:r>
        <w:rPr>
          <w:rtl w:val="1"/>
        </w:rPr>
        <w:t>الشرح: الدلالة: آداب المعلم - آداب المعلم والمتعلم</w:t>
      </w:r>
    </w:p>
    <w:p>
      <w:pPr>
        <w:bidi w:val="1"/>
        <w:jc w:val="start"/>
      </w:pPr>
      <w:r>
        <w:rPr>
          <w:rtl w:val="1"/>
        </w:rPr>
        <w:t>الشرح: الدلالة: آداب المتعلم - آداب المعلم والمتعلم</w:t>
      </w:r>
    </w:p>
    <w:p>
      <w:pPr>
        <w:bidi w:val="1"/>
        <w:jc w:val="start"/>
      </w:pPr>
      <w:r>
        <w:rPr>
          <w:rtl w:val="1"/>
        </w:rPr>
        <w:t>الشرح: الدلالة: الالتزام بالكتاب والسنة</w:t>
      </w:r>
    </w:p>
    <w:p>
      <w:pPr>
        <w:bidi w:val="1"/>
        <w:jc w:val="start"/>
      </w:pPr>
      <w:r>
        <w:rPr>
          <w:rtl w:val="1"/>
        </w:rPr>
        <w:t>الشرح: الدلالة: السنة الحسنة. - ما ورد في إعتبار الرأي وقبوله</w:t>
      </w:r>
    </w:p>
    <w:p>
      <w:pPr>
        <w:bidi w:val="1"/>
        <w:jc w:val="start"/>
      </w:pPr>
      <w:r>
        <w:rPr>
          <w:rtl w:val="1"/>
        </w:rPr>
        <w:t>الشرح: الدلالة: السنة السيئة - ما ورد في الرأي المذموم</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التكرار - الأساليب التعليمية</w:t>
      </w:r>
    </w:p>
    <w:p>
      <w:pPr>
        <w:bidi w:val="1"/>
        <w:jc w:val="start"/>
      </w:pPr>
      <w:r>
        <w:rPr>
          <w:rtl w:val="1"/>
        </w:rPr>
        <w:t>الشرح: الدلالة: القدرة والكفاية في أساليب التدريس ووسائله - الكفايات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