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حكم أرض اليمن-كتاب الخراج والإمارة والفيء-سنن أبي داود — رقم الحديث: 3027 — الرقم الفرعي: 99 — الرقم الأصلي: 3027</w:t>
        <w:br/>
      </w:r>
      <w:r>
        <w:rPr>
          <w:rtl w:val="1"/>
        </w:rPr>
        <w:t xml:space="preserve"> حدثنا هناد بن السريّ عن أبي أسامة عن مُجالِد عن الشعبيّ عن عامر بن شَهر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خرجَ رسولُ الله ﷺ، فقالت لي هَمْدان: هل أنتَ آتٍ هذا الرجلَ ومُرتادٌ لنا: فإن رضيتَ لنا شيئاً قبلناه، وإن كرهتَ شيئاً كرِهناه؟  </w:t>
      </w:r>
      <w:r>
        <w:rPr>
          <w:color w:val="000000"/>
          <w:rtl w:val="1"/>
        </w:rPr>
        <w:t xml:space="preserve">قلتُ: نعم، فجئتُ، حتى قدمتُ على رسولِ الله ﷺ، فرضيتُ أمره، وأسلم قومي،  </w:t>
      </w:r>
      <w:r>
        <w:rPr>
          <w:color w:val="000000"/>
          <w:rtl w:val="1"/>
        </w:rPr>
        <w:t xml:space="preserve">وكتب رسولُ الله ﷺ هذا الكتابَ إلى عُمير ذي مُرَّان، قال: وبعث مالك بن مُرَارةَ الرُّهاوي إلى اليمن جميعاً، فأسلمَ عكٌّ ذُو خَيْوان، قال: فقيلِ لِعَكٍّ: انطلِق إلى رسولِ الله ﷺ فخذ منه الأمانَ على قريتكِ ومالِك،  </w:t>
      </w:r>
      <w:r>
        <w:rPr>
          <w:color w:val="FF0000"/>
          <w:rtl w:val="1"/>
        </w:rPr>
        <w:t xml:space="preserve">فقدم وكتبَ له رسولُ الله ﷺ: «بسم الله الرحمن الرحيم، من محمدٍ رسولِ الله لِعَكٍّ ذي خَيْوان، إن كان صادقاً في أرضِه ومالِه ورقيقِه فله الأمانُ وذمةُ اللهِ وذمةُ محمدِ رسولِ الله».  </w:t>
      </w:r>
      <w:r>
        <w:rPr>
          <w:color w:val="000000"/>
          <w:rtl w:val="1"/>
        </w:rPr>
        <w:t xml:space="preserve">وكتبَ خالدُ بن سعيدِ بن العاصِ.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الوثائق المكتوبة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كتب النبي صلى الله عليه وسلم المثبتة للحقوق - الوثائق المكتوبة</w:t>
      </w:r>
    </w:p>
    <w:p>
      <w:pPr>
        <w:bidi w:val="1"/>
        <w:jc w:val="start"/>
      </w:pPr>
      <w:r>
        <w:rPr>
          <w:rtl w:val="1"/>
        </w:rPr>
        <w:t>الشرح: الدلالة: ما ورد في الأشعريين وأهل اليمن - ما ورد في القبائل</w:t>
      </w:r>
    </w:p>
    <w:p>
      <w:pPr>
        <w:bidi w:val="1"/>
        <w:jc w:val="start"/>
      </w:pPr>
      <w:r>
        <w:rPr>
          <w:rtl w:val="1"/>
        </w:rPr>
        <w:t>الشرح: الدلالة: إتجاهات الرأي العام الموافق (المؤيد)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الرسائل والكتب الرسمية</w:t>
      </w:r>
    </w:p>
    <w:p>
      <w:pPr>
        <w:bidi w:val="1"/>
        <w:jc w:val="start"/>
      </w:pPr>
      <w:r>
        <w:rPr>
          <w:rtl w:val="1"/>
        </w:rPr>
        <w:t>الشرح: الدلالة: الحاجة إلى الأمن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الكتب الرسمية والرسائل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ختم الأوراق والكتب الرسمية.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