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الطيب بعد رمي الجمار-كتاب الحجّ-صحيح البخاري — رقم الحديث: 1754 — الرقم الفرعي: 99 — الرقم الأصلي: 1754</w:t>
        <w:br/>
      </w:r>
      <w:r>
        <w:rPr>
          <w:rtl w:val="1"/>
        </w:rPr>
        <w:t xml:space="preserve"> حدثنا علي بن عبد الله حدثنا سفيان حدثنا عبد الرحمن بن القاسم أنه سمع أباه ملاحظة وكان أفضل أهل زمانه يقول:سمعت عائشة رضي الله عنها</w:t>
        <w:br/>
      </w:r>
      <w:r>
        <w:rPr>
          <w:color w:val="000000"/>
          <w:rtl w:val="1"/>
        </w:rPr>
        <w:t xml:space="preserve">تقولُ:  </w:t>
      </w:r>
      <w:r>
        <w:rPr>
          <w:color w:val="FF0000"/>
          <w:rtl w:val="1"/>
        </w:rPr>
        <w:t xml:space="preserve">طيَّبتُ رسولَ الله ﷺ بيَدَيَّ هاتَينِ  </w:t>
      </w:r>
      <w:r>
        <w:rPr>
          <w:color w:val="000000"/>
          <w:rtl w:val="1"/>
        </w:rPr>
        <w:t xml:space="preserve">حينَ أحرَمَ،  </w:t>
      </w:r>
      <w:r>
        <w:rPr>
          <w:color w:val="FF0000"/>
          <w:rtl w:val="1"/>
        </w:rPr>
        <w:t xml:space="preserve">ولِحِلِّه حينَ أحَلَّ قبلَ أنْ يَطُوفَ؛  </w:t>
      </w:r>
      <w:r>
        <w:rPr>
          <w:color w:val="000000"/>
          <w:rtl w:val="1"/>
        </w:rPr>
        <w:t xml:space="preserve">وبَسَطَتْ يَدَيها. </w:t>
      </w:r>
    </w:p>
    <w:p>
      <w:pPr>
        <w:bidi w:val="1"/>
        <w:jc w:val="start"/>
      </w:pPr>
      <w:r>
        <w:rPr>
          <w:rtl w:val="1"/>
        </w:rPr>
        <w:t>الشرح: الدلالة: في يوم النحر - حجة الوداع وما تلاها من أحداث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