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أشعر وقلّد بذي الحليفة ثم أحرم-كتاب الحجّ-صحيح البخاري — رقم الحديث: 1694 — الرقم الفرعي: 99 — الرقم الأصلي: 1694</w:t>
        <w:br/>
      </w:r>
      <w:r>
        <w:rPr>
          <w:rtl w:val="1"/>
        </w:rPr>
        <w:t xml:space="preserve"> حدثنا أحمد بن محمد أخبرنا عبد الله أخبرنا معمر عن الزهريّ عن عروة بن الزبير عن المِسْوَر بن مَخْرمة و مروان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خَرَجَ النبيُّ ﷺ مِنَ المدينةِ في بِضْعَ عَشْرةَ مئةً من أصحابِه،  </w:t>
      </w:r>
      <w:r>
        <w:rPr>
          <w:color w:val="FF0000"/>
          <w:rtl w:val="1"/>
        </w:rPr>
        <w:t xml:space="preserve">حتَّى إذا كانُوا بذِي الحُلَيفةِ قَلَّدَ النبيُّ ﷺ الهَدْيَ وأشْعَرَ وأحرَمَ بالعُمْرةِ. </w:t>
      </w:r>
    </w:p>
    <w:p>
      <w:pPr>
        <w:bidi w:val="1"/>
        <w:jc w:val="start"/>
      </w:pPr>
      <w:r>
        <w:rPr>
          <w:rtl w:val="1"/>
        </w:rPr>
        <w:t>الشرح: الدلالة: سوق الهدي وتقليده وإشعاره واستخدامه - الهدي</w:t>
      </w:r>
    </w:p>
    <w:p>
      <w:pPr>
        <w:bidi w:val="1"/>
        <w:jc w:val="start"/>
      </w:pPr>
      <w:r>
        <w:rPr>
          <w:rtl w:val="1"/>
        </w:rPr>
        <w:t>الشرح: الدلالة: الإحرام ومكانه - أعمال العمرة</w:t>
      </w:r>
    </w:p>
    <w:p>
      <w:pPr>
        <w:bidi w:val="1"/>
        <w:jc w:val="start"/>
      </w:pPr>
      <w:r>
        <w:rPr>
          <w:rtl w:val="1"/>
        </w:rPr>
        <w:t>الشرح: الدلالة: إحرام النبي صلى الله عليه وسلم وأصحابه للعمرة - غزوة الحديبية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