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شراء النبيّ صلى الله عليه وسلم،بالنسيئة-كتاب البيوع-صحيح البخاري — رقم الحديث: 2069 — الرقم الفرعي: 99 — الرقم الأصلي: 2069</w:t>
        <w:br/>
      </w:r>
      <w:r>
        <w:rPr>
          <w:rtl w:val="1"/>
        </w:rPr>
        <w:t xml:space="preserve"> حدثنا مسلم حدثنا هشام حدثنا قتادة عن أنس ح حدثني محمد بن عبد الله بن حوشب حدثنا أسباط أبو الْيَسَع البصريّ حدثنا هشام الدَّسْتَوَائِيُّ عن قتادة عن أنس رضي الله عنه</w:t>
        <w:br/>
      </w:r>
      <w:r>
        <w:rPr>
          <w:color w:val="FF0000"/>
          <w:rtl w:val="1"/>
        </w:rPr>
        <w:t xml:space="preserve">أنَّه مَشَى إلى النبيِّ ﷺ بخُبْزِ شَعِيرٍ وإهَالةٍ سَنِخةٍ،  </w:t>
      </w:r>
      <w:r>
        <w:rPr>
          <w:color w:val="FF0000"/>
          <w:rtl w:val="1"/>
        </w:rPr>
        <w:t xml:space="preserve">ولقد رَهَنَ النبيُّ ﷺ دِرْعًا له بالمدينةِ عندَ يهوديٍّ، وأخَذَ منه شَعِيرًا لأهلِه،  </w:t>
      </w:r>
      <w:r>
        <w:rPr>
          <w:color w:val="FF0000"/>
          <w:rtl w:val="1"/>
        </w:rPr>
        <w:t xml:space="preserve">ولقد سمعتُه يقولُ: «ما أمسَى عندَ آلِ محمَّدٍ ﷺ صاعُ بُرٍّ ولا صاعُ حَبٍّ وإنَّ عندَه لَتِسعَ نِسْوةٍ». </w:t>
      </w:r>
    </w:p>
    <w:p>
      <w:pPr>
        <w:bidi w:val="1"/>
        <w:jc w:val="start"/>
      </w:pPr>
      <w:r>
        <w:rPr>
          <w:rtl w:val="1"/>
        </w:rPr>
        <w:t>الشرح: الدلالة: إيثار الآخرة على الدنيا.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الرهن بين المسلمين وغير المسلمين - عقد الرهن</w:t>
      </w:r>
    </w:p>
    <w:p>
      <w:pPr>
        <w:bidi w:val="1"/>
        <w:jc w:val="start"/>
      </w:pPr>
      <w:r>
        <w:rPr>
          <w:rtl w:val="1"/>
        </w:rPr>
        <w:t>الشرح: الدلالة: الخبز - الحبوب والبذور والبقوليات ومنتجاتها</w:t>
      </w:r>
    </w:p>
    <w:p>
      <w:pPr>
        <w:bidi w:val="1"/>
        <w:jc w:val="start"/>
      </w:pPr>
      <w:r>
        <w:rPr>
          <w:rtl w:val="1"/>
        </w:rPr>
        <w:t>الشرح: الدلالة: قيمة القناعة بالقليل من الزاد والطعام - قيم القناعة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اشتراط الإسلام - العاقدان</w:t>
      </w:r>
    </w:p>
    <w:p>
      <w:pPr>
        <w:bidi w:val="1"/>
        <w:jc w:val="start"/>
      </w:pPr>
      <w:r>
        <w:rPr>
          <w:rtl w:val="1"/>
        </w:rPr>
        <w:t>الشرح: الدلالة: مشروعية الرهن - الرهن</w:t>
      </w:r>
    </w:p>
    <w:p>
      <w:pPr>
        <w:bidi w:val="1"/>
        <w:jc w:val="start"/>
      </w:pPr>
      <w:r>
        <w:rPr>
          <w:rtl w:val="1"/>
        </w:rPr>
        <w:t>الشرح: الدلالة: حكم الرهن - الرهن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p>
      <w:pPr>
        <w:bidi w:val="1"/>
        <w:jc w:val="start"/>
      </w:pPr>
      <w:r>
        <w:rPr>
          <w:rtl w:val="1"/>
        </w:rPr>
        <w:t xml:space="preserve">الشرح: الدلالة: معاملته ﷺ لرعايا الدولة الإسلامية منهم - معاملة النبي ﷺ للكفار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